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fr-CA"/>
        </w:rPr>
        <w:id w:val="991917437"/>
        <w:docPartObj>
          <w:docPartGallery w:val="Cover Pages"/>
          <w:docPartUnique/>
        </w:docPartObj>
      </w:sdtPr>
      <w:sdtEndPr/>
      <w:sdtContent>
        <w:p w14:paraId="72CE555A" w14:textId="77777777" w:rsidR="00323326" w:rsidRPr="00FE34C7" w:rsidRDefault="00323326" w:rsidP="00EA03C3">
          <w:pPr>
            <w:rPr>
              <w:lang w:val="fr-CA"/>
            </w:rPr>
          </w:pPr>
        </w:p>
        <w:p w14:paraId="70AD5979" w14:textId="77777777" w:rsidR="00732D2E" w:rsidRPr="00FE34C7" w:rsidRDefault="00B830C6" w:rsidP="00EA03C3">
          <w:pPr>
            <w:rPr>
              <w:lang w:val="fr-CA"/>
            </w:rPr>
          </w:pPr>
          <w:r w:rsidRPr="00FE34C7">
            <w:rPr>
              <w:b/>
              <w:color w:val="1F5193"/>
              <w:lang w:val="fr-CA"/>
            </w:rPr>
            <w:t xml:space="preserve"> </w:t>
          </w:r>
        </w:p>
      </w:sdtContent>
    </w:sdt>
    <w:p w14:paraId="454E79DB" w14:textId="0882B1AE" w:rsidR="0030082A" w:rsidRPr="00FE34C7" w:rsidRDefault="004C299F" w:rsidP="008B7755">
      <w:pPr>
        <w:pStyle w:val="TitlePageheader"/>
        <w:spacing w:before="4000" w:beforeAutospacing="0" w:afterAutospacing="0"/>
        <w:jc w:val="center"/>
        <w:rPr>
          <w:rFonts w:ascii="Arial" w:hAnsi="Arial" w:cs="Arial"/>
          <w:b w:val="0"/>
          <w:sz w:val="56"/>
          <w:lang w:val="fr-CA"/>
        </w:rPr>
      </w:pPr>
      <w:bookmarkStart w:id="0" w:name="_Hlk93579725"/>
      <w:r w:rsidRPr="00FE34C7">
        <w:rPr>
          <w:rFonts w:ascii="Arial" w:hAnsi="Arial" w:cs="Arial"/>
          <w:b w:val="0"/>
          <w:sz w:val="56"/>
          <w:lang w:val="fr-CA"/>
        </w:rPr>
        <w:t xml:space="preserve">Mémoire d’Unifor dans le </w:t>
      </w:r>
      <w:r w:rsidRPr="00FE34C7">
        <w:rPr>
          <w:rFonts w:ascii="Arial" w:hAnsi="Arial" w:cs="Arial"/>
          <w:b w:val="0"/>
          <w:sz w:val="56"/>
          <w:lang w:val="fr-CA"/>
        </w:rPr>
        <w:br/>
        <w:t xml:space="preserve">cadre des consultations </w:t>
      </w:r>
      <w:r w:rsidRPr="00FE34C7">
        <w:rPr>
          <w:rFonts w:ascii="Arial" w:hAnsi="Arial" w:cs="Arial"/>
          <w:b w:val="0"/>
          <w:sz w:val="56"/>
          <w:lang w:val="fr-CA"/>
        </w:rPr>
        <w:br/>
        <w:t>budgétaires de 2023 de l’Ontario</w:t>
      </w:r>
    </w:p>
    <w:bookmarkEnd w:id="0"/>
    <w:p w14:paraId="6EA5ACFC" w14:textId="23416839" w:rsidR="00983A0C" w:rsidRPr="00FE34C7" w:rsidRDefault="0030082A" w:rsidP="00504340">
      <w:pPr>
        <w:pStyle w:val="TitlePagesubheader"/>
        <w:jc w:val="center"/>
        <w:rPr>
          <w:rStyle w:val="Accentuationlgre"/>
          <w:rFonts w:ascii="Arial" w:hAnsi="Arial" w:cs="Arial"/>
          <w:i w:val="0"/>
          <w:iCs w:val="0"/>
          <w:color w:val="auto"/>
          <w:sz w:val="20"/>
          <w:lang w:val="fr-CA"/>
        </w:rPr>
      </w:pPr>
      <w:r w:rsidRPr="00FE34C7">
        <w:rPr>
          <w:rFonts w:ascii="Arial" w:hAnsi="Arial" w:cs="Arial"/>
          <w:sz w:val="20"/>
          <w:lang w:val="fr-CA" w:eastAsia="en-CA"/>
        </w:rPr>
        <mc:AlternateContent>
          <mc:Choice Requires="wps">
            <w:drawing>
              <wp:anchor distT="0" distB="0" distL="114300" distR="114300" simplePos="0" relativeHeight="251680768" behindDoc="0" locked="0" layoutInCell="1" allowOverlap="1" wp14:anchorId="68D7AD2A" wp14:editId="351B1DCB">
                <wp:simplePos x="0" y="0"/>
                <wp:positionH relativeFrom="margin">
                  <wp:align>center</wp:align>
                </wp:positionH>
                <wp:positionV relativeFrom="paragraph">
                  <wp:posOffset>485775</wp:posOffset>
                </wp:positionV>
                <wp:extent cx="4400550" cy="0"/>
                <wp:effectExtent l="0" t="0" r="19050" b="19050"/>
                <wp:wrapTopAndBottom/>
                <wp:docPr id="12" name="Straight Connector 12" descr="Line" title="Line"/>
                <wp:cNvGraphicFramePr/>
                <a:graphic xmlns:a="http://schemas.openxmlformats.org/drawingml/2006/main">
                  <a:graphicData uri="http://schemas.microsoft.com/office/word/2010/wordprocessingShape">
                    <wps:wsp>
                      <wps:cNvCnPr/>
                      <wps:spPr>
                        <a:xfrm>
                          <a:off x="0" y="0"/>
                          <a:ext cx="4400550" cy="0"/>
                        </a:xfrm>
                        <a:prstGeom prst="line">
                          <a:avLst/>
                        </a:prstGeom>
                        <a:ln w="19050" cmpd="sng">
                          <a:solidFill>
                            <a:srgbClr val="005EB8"/>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xmlns:w="http://schemas.openxmlformats.org/wordprocessingml/2006/main">
              <v:line xmlns:o="urn:schemas-microsoft-com:office:office" xmlns:w14="http://schemas.microsoft.com/office/word/2010/wordml" xmlns:v="urn:schemas-microsoft-com:vml" w14:anchorId="52F40A23" id="Straight Connector 12" o:spid="_x0000_s1026" alt="Title: Line - Description: Line" style="position:absolute;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8.25pt" to="346.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" strokecolor="#005eb8" strokeweight="1.5pt">
                <w10:wrap xmlns:w10="urn:schemas-microsoft-com:office:word" type="topAndBottom" anchorx="margin"/>
              </v:line>
            </w:pict>
          </mc:Fallback>
        </mc:AlternateContent>
      </w:r>
      <w:r w:rsidR="001E1F26" w:rsidRPr="00FE34C7">
        <w:rPr>
          <w:rFonts w:ascii="Arial" w:hAnsi="Arial" w:cs="Arial"/>
          <w:b/>
          <w:sz w:val="28"/>
          <w:szCs w:val="36"/>
          <w:lang w:val="fr-CA"/>
        </w:rPr>
        <w:t xml:space="preserve">Naureen Rizvi, </w:t>
      </w:r>
      <w:r w:rsidR="004C299F" w:rsidRPr="00FE34C7">
        <w:rPr>
          <w:rFonts w:ascii="Arial" w:hAnsi="Arial" w:cs="Arial"/>
          <w:b/>
          <w:sz w:val="28"/>
          <w:szCs w:val="36"/>
          <w:lang w:val="fr-CA"/>
        </w:rPr>
        <w:t>directrice de la région de l’Ontario d’Unifor</w:t>
      </w:r>
    </w:p>
    <w:p w14:paraId="64EA24FF" w14:textId="6FE37E78" w:rsidR="001E1F26" w:rsidRPr="00FE34C7" w:rsidRDefault="004C299F" w:rsidP="001E1F26">
      <w:pPr>
        <w:pStyle w:val="TitlePagesubheader"/>
        <w:jc w:val="center"/>
        <w:rPr>
          <w:rStyle w:val="Accentuationlgre"/>
          <w:rFonts w:ascii="Arial" w:hAnsi="Arial" w:cs="Arial"/>
          <w:i w:val="0"/>
          <w:iCs w:val="0"/>
          <w:color w:val="auto"/>
          <w:lang w:val="fr-CA"/>
        </w:rPr>
      </w:pPr>
      <w:r w:rsidRPr="00FE34C7">
        <w:rPr>
          <w:rStyle w:val="Accentuationlgre"/>
          <w:rFonts w:ascii="Arial" w:hAnsi="Arial" w:cs="Arial"/>
          <w:i w:val="0"/>
          <w:iCs w:val="0"/>
          <w:color w:val="auto"/>
          <w:lang w:val="fr-CA"/>
        </w:rPr>
        <w:t xml:space="preserve">Février </w:t>
      </w:r>
      <w:r w:rsidR="001E1F26" w:rsidRPr="00FE34C7">
        <w:rPr>
          <w:rStyle w:val="Accentuationlgre"/>
          <w:rFonts w:ascii="Arial" w:hAnsi="Arial" w:cs="Arial"/>
          <w:i w:val="0"/>
          <w:iCs w:val="0"/>
          <w:color w:val="auto"/>
          <w:lang w:val="fr-CA"/>
        </w:rPr>
        <w:t>2023</w:t>
      </w:r>
    </w:p>
    <w:p w14:paraId="059A48BF" w14:textId="77777777" w:rsidR="001E1F26" w:rsidRPr="00FE34C7" w:rsidRDefault="001E1F26" w:rsidP="001E1F26">
      <w:pPr>
        <w:pStyle w:val="TitlePagesubheader"/>
        <w:jc w:val="center"/>
        <w:rPr>
          <w:rStyle w:val="Accentuationlgre"/>
          <w:rFonts w:ascii="Arial" w:hAnsi="Arial" w:cs="Arial"/>
          <w:i w:val="0"/>
          <w:iCs w:val="0"/>
          <w:color w:val="auto"/>
          <w:lang w:val="fr-CA"/>
        </w:rPr>
      </w:pPr>
      <w:r w:rsidRPr="00FE34C7">
        <w:rPr>
          <w:rStyle w:val="Accentuationlgre"/>
          <w:rFonts w:ascii="Arial" w:hAnsi="Arial" w:cs="Arial"/>
          <w:i w:val="0"/>
          <w:iCs w:val="0"/>
          <w:color w:val="auto"/>
          <w:lang w:val="fr-CA"/>
        </w:rPr>
        <w:br/>
      </w:r>
    </w:p>
    <w:p w14:paraId="0AE56F67" w14:textId="77777777" w:rsidR="00D30D59" w:rsidRPr="00FE34C7" w:rsidRDefault="00792A06" w:rsidP="00EA03C3">
      <w:pPr>
        <w:rPr>
          <w:lang w:val="fr-CA"/>
        </w:rPr>
      </w:pPr>
      <w:r w:rsidRPr="00FE34C7">
        <w:rPr>
          <w:lang w:val="fr-CA"/>
        </w:rPr>
        <w:br w:type="page"/>
      </w:r>
    </w:p>
    <w:p w14:paraId="1EEF75BF" w14:textId="0E295420" w:rsidR="0030082A" w:rsidRPr="00FE34C7" w:rsidRDefault="00B836E7" w:rsidP="001E1F26">
      <w:pPr>
        <w:pStyle w:val="Titre1"/>
        <w:rPr>
          <w:lang w:val="fr-CA"/>
        </w:rPr>
      </w:pPr>
      <w:r w:rsidRPr="00FE34C7">
        <w:rPr>
          <w:lang w:val="fr-CA"/>
        </w:rPr>
        <w:lastRenderedPageBreak/>
        <w:t>À propos d’Unifor</w:t>
      </w:r>
    </w:p>
    <w:p w14:paraId="76460FD6" w14:textId="417D8128" w:rsidR="00B836E7" w:rsidRPr="00FE34C7" w:rsidRDefault="001E1F26" w:rsidP="001E1F26">
      <w:pPr>
        <w:rPr>
          <w:lang w:val="fr-CA"/>
        </w:rPr>
      </w:pPr>
      <w:r w:rsidRPr="00FE34C7">
        <w:rPr>
          <w:lang w:val="fr-CA"/>
        </w:rPr>
        <w:t xml:space="preserve">Unifor </w:t>
      </w:r>
      <w:r w:rsidR="00B836E7" w:rsidRPr="00FE34C7">
        <w:rPr>
          <w:lang w:val="fr-CA"/>
        </w:rPr>
        <w:t>est le plus grand syndicat du secteur privé au Canada, représentant plus de 315 000 membres, dont 160 000 qui vivent et travaillent en Ontario. Les membres d’Unifor travaillent notamment dans les secteurs des soins de santé, des soins de longue durée, de l’automobile, de la construction de véhicules de transport en commun, du transport, de l’énergie, des jeux et de l’hôtellerie.</w:t>
      </w:r>
    </w:p>
    <w:p w14:paraId="7C305AE4" w14:textId="3B58C278" w:rsidR="001E1F26" w:rsidRPr="00FE34C7" w:rsidRDefault="00B836E7" w:rsidP="001E1F26">
      <w:pPr>
        <w:pStyle w:val="Titre1"/>
        <w:rPr>
          <w:lang w:val="fr-CA"/>
        </w:rPr>
      </w:pPr>
      <w:r w:rsidRPr="00FE34C7">
        <w:rPr>
          <w:lang w:val="fr-CA"/>
        </w:rPr>
        <w:t>Services publics</w:t>
      </w:r>
    </w:p>
    <w:p w14:paraId="2082C649" w14:textId="109C0DC9" w:rsidR="006A1270" w:rsidRPr="00FE34C7" w:rsidRDefault="001E1F26" w:rsidP="001E1F26">
      <w:pPr>
        <w:rPr>
          <w:lang w:val="fr-CA"/>
        </w:rPr>
      </w:pPr>
      <w:r w:rsidRPr="00FE34C7">
        <w:rPr>
          <w:lang w:val="fr-CA"/>
        </w:rPr>
        <w:t xml:space="preserve">Unifor </w:t>
      </w:r>
      <w:r w:rsidR="00CA7330" w:rsidRPr="00FE34C7">
        <w:rPr>
          <w:lang w:val="fr-CA"/>
        </w:rPr>
        <w:t xml:space="preserve">s’inquiète </w:t>
      </w:r>
      <w:r w:rsidR="00870923" w:rsidRPr="00FE34C7">
        <w:rPr>
          <w:lang w:val="fr-CA"/>
        </w:rPr>
        <w:t xml:space="preserve">de plus en plus </w:t>
      </w:r>
      <w:r w:rsidR="00CA7330" w:rsidRPr="00FE34C7">
        <w:rPr>
          <w:lang w:val="fr-CA"/>
        </w:rPr>
        <w:t>d</w:t>
      </w:r>
      <w:r w:rsidR="00925666" w:rsidRPr="00FE34C7">
        <w:rPr>
          <w:lang w:val="fr-CA"/>
        </w:rPr>
        <w:t xml:space="preserve">es </w:t>
      </w:r>
      <w:r w:rsidR="00BE42A6" w:rsidRPr="00FE34C7">
        <w:rPr>
          <w:lang w:val="fr-CA"/>
        </w:rPr>
        <w:t>mesures prises par le gouvernement actuel visant les services publics de l’Ontario.</w:t>
      </w:r>
      <w:r w:rsidR="00C70933" w:rsidRPr="00FE34C7">
        <w:rPr>
          <w:lang w:val="fr-CA"/>
        </w:rPr>
        <w:t xml:space="preserve"> </w:t>
      </w:r>
      <w:r w:rsidR="00B2732B" w:rsidRPr="00FE34C7">
        <w:rPr>
          <w:lang w:val="fr-CA"/>
        </w:rPr>
        <w:t>L</w:t>
      </w:r>
      <w:r w:rsidR="00682075" w:rsidRPr="00FE34C7">
        <w:rPr>
          <w:lang w:val="fr-CA"/>
        </w:rPr>
        <w:t xml:space="preserve">’érosion continue des services publics, </w:t>
      </w:r>
      <w:r w:rsidR="005E29FC" w:rsidRPr="00FE34C7">
        <w:rPr>
          <w:lang w:val="fr-CA"/>
        </w:rPr>
        <w:t>malgré les recettes fiscales exceptionnelles, est incroyablement décevant</w:t>
      </w:r>
      <w:r w:rsidR="00682075" w:rsidRPr="00FE34C7">
        <w:rPr>
          <w:lang w:val="fr-CA"/>
        </w:rPr>
        <w:t>e</w:t>
      </w:r>
      <w:r w:rsidR="005E29FC" w:rsidRPr="00FE34C7">
        <w:rPr>
          <w:lang w:val="fr-CA"/>
        </w:rPr>
        <w:t xml:space="preserve"> et </w:t>
      </w:r>
      <w:r w:rsidR="00643ECD" w:rsidRPr="00FE34C7">
        <w:rPr>
          <w:lang w:val="fr-CA"/>
        </w:rPr>
        <w:t>démontre un manque de vision.</w:t>
      </w:r>
      <w:r w:rsidRPr="00FE34C7">
        <w:rPr>
          <w:lang w:val="fr-CA"/>
        </w:rPr>
        <w:t xml:space="preserve"> Unifor </w:t>
      </w:r>
      <w:r w:rsidR="006A1270" w:rsidRPr="00FE34C7">
        <w:rPr>
          <w:lang w:val="fr-CA"/>
        </w:rPr>
        <w:t>recommande que le gouvernement renverse la vapeur et redynamise plutôt les services publics de l’Ontario afin d’établir des bases solides pour les travailleuses et travailleurs et leur famille</w:t>
      </w:r>
      <w:r w:rsidR="00CA7330" w:rsidRPr="00FE34C7">
        <w:rPr>
          <w:lang w:val="fr-CA"/>
        </w:rPr>
        <w:t>,</w:t>
      </w:r>
      <w:r w:rsidR="006A1270" w:rsidRPr="00FE34C7">
        <w:rPr>
          <w:lang w:val="fr-CA"/>
        </w:rPr>
        <w:t xml:space="preserve"> aujourd’hui et demain.</w:t>
      </w:r>
    </w:p>
    <w:p w14:paraId="54210311" w14:textId="278D25E1" w:rsidR="001E1F26" w:rsidRPr="00FE34C7" w:rsidRDefault="00B836E7" w:rsidP="001E1F26">
      <w:pPr>
        <w:pStyle w:val="Titre2"/>
        <w:rPr>
          <w:lang w:val="fr-CA"/>
        </w:rPr>
      </w:pPr>
      <w:r w:rsidRPr="00FE34C7">
        <w:rPr>
          <w:lang w:val="fr-CA"/>
        </w:rPr>
        <w:t>Services de garde d’enfants</w:t>
      </w:r>
    </w:p>
    <w:p w14:paraId="492AC02D" w14:textId="158EF1B0" w:rsidR="00B71621" w:rsidRPr="00FE34C7" w:rsidRDefault="00B71621" w:rsidP="001E1F26">
      <w:pPr>
        <w:pStyle w:val="Paragraphedeliste"/>
        <w:numPr>
          <w:ilvl w:val="0"/>
          <w:numId w:val="12"/>
        </w:numPr>
        <w:spacing w:before="240" w:after="240"/>
        <w:rPr>
          <w:lang w:val="fr-CA"/>
        </w:rPr>
      </w:pPr>
      <w:r w:rsidRPr="00FE34C7">
        <w:rPr>
          <w:lang w:val="fr-CA"/>
        </w:rPr>
        <w:t>S’assurer que l’élargissement des services de garde d’enfants à 10 $ par jour financés par l’État cible les places sans but lucratif.</w:t>
      </w:r>
    </w:p>
    <w:p w14:paraId="635BEF14" w14:textId="72014EFB" w:rsidR="001E1F26" w:rsidRPr="00FE34C7" w:rsidRDefault="00B71621" w:rsidP="003F6B00">
      <w:pPr>
        <w:pStyle w:val="Paragraphedeliste"/>
        <w:numPr>
          <w:ilvl w:val="0"/>
          <w:numId w:val="12"/>
        </w:numPr>
        <w:spacing w:before="240" w:after="240"/>
        <w:contextualSpacing/>
        <w:rPr>
          <w:lang w:val="fr-CA"/>
        </w:rPr>
      </w:pPr>
      <w:r w:rsidRPr="00FE34C7">
        <w:rPr>
          <w:lang w:val="fr-CA"/>
        </w:rPr>
        <w:t>Élaborer une stratégie efficace en matière de main-d’œuvre pour le secteur des services de garde, laquelle inclut :</w:t>
      </w:r>
      <w:r w:rsidR="001E1F26" w:rsidRPr="00FE34C7">
        <w:rPr>
          <w:lang w:val="fr-CA"/>
        </w:rPr>
        <w:t xml:space="preserve"> </w:t>
      </w:r>
    </w:p>
    <w:p w14:paraId="625FB5DF" w14:textId="3ADC3EFB" w:rsidR="00B71621" w:rsidRPr="00FE34C7" w:rsidRDefault="00B71621" w:rsidP="001E1F26">
      <w:pPr>
        <w:pStyle w:val="Paragraphedeliste"/>
        <w:numPr>
          <w:ilvl w:val="1"/>
          <w:numId w:val="12"/>
        </w:numPr>
        <w:spacing w:before="360" w:after="0"/>
        <w:ind w:left="1434" w:hanging="357"/>
        <w:rPr>
          <w:lang w:val="fr-CA"/>
        </w:rPr>
      </w:pPr>
      <w:r w:rsidRPr="00FE34C7">
        <w:rPr>
          <w:lang w:val="fr-CA"/>
        </w:rPr>
        <w:t xml:space="preserve">une échelle salariale commençant à 25 $ l’heure pour tous les travailleurs et travailleuses des services de garde et à 30 $ l’heure pour les éducatrices et éducateurs </w:t>
      </w:r>
      <w:r w:rsidR="00C82B14" w:rsidRPr="00FE34C7">
        <w:rPr>
          <w:lang w:val="fr-CA"/>
        </w:rPr>
        <w:t xml:space="preserve">agréés </w:t>
      </w:r>
      <w:r w:rsidRPr="00FE34C7">
        <w:rPr>
          <w:lang w:val="fr-CA"/>
        </w:rPr>
        <w:t>de la petite enfance</w:t>
      </w:r>
      <w:r w:rsidR="00C82B14" w:rsidRPr="00FE34C7">
        <w:rPr>
          <w:lang w:val="fr-CA"/>
        </w:rPr>
        <w:t>;</w:t>
      </w:r>
    </w:p>
    <w:p w14:paraId="02420497" w14:textId="388EA8AD" w:rsidR="001E1F26" w:rsidRPr="00FE34C7" w:rsidRDefault="00B71621" w:rsidP="002C113D">
      <w:pPr>
        <w:pStyle w:val="Paragraphedeliste"/>
        <w:numPr>
          <w:ilvl w:val="1"/>
          <w:numId w:val="12"/>
        </w:numPr>
        <w:spacing w:before="120" w:after="0"/>
        <w:ind w:left="1434" w:hanging="357"/>
        <w:rPr>
          <w:lang w:val="fr-CA"/>
        </w:rPr>
      </w:pPr>
      <w:r w:rsidRPr="00FE34C7">
        <w:rPr>
          <w:lang w:val="fr-CA"/>
        </w:rPr>
        <w:t>des avantages sociaux et des régimes de retraite;</w:t>
      </w:r>
    </w:p>
    <w:p w14:paraId="53E9B489" w14:textId="3808F5D7" w:rsidR="00B71621" w:rsidRPr="00FE34C7" w:rsidRDefault="00B71621" w:rsidP="002C113D">
      <w:pPr>
        <w:pStyle w:val="Paragraphedeliste"/>
        <w:numPr>
          <w:ilvl w:val="1"/>
          <w:numId w:val="12"/>
        </w:numPr>
        <w:spacing w:before="120" w:after="0"/>
        <w:ind w:left="1434" w:hanging="357"/>
        <w:rPr>
          <w:lang w:val="fr-CA"/>
        </w:rPr>
      </w:pPr>
      <w:r w:rsidRPr="00FE34C7">
        <w:rPr>
          <w:lang w:val="fr-CA"/>
        </w:rPr>
        <w:t>des congés de maladie payés;</w:t>
      </w:r>
    </w:p>
    <w:p w14:paraId="39B6CA5B" w14:textId="6ED279EF" w:rsidR="001E1F26" w:rsidRPr="00FE34C7" w:rsidRDefault="00B71621" w:rsidP="001720AD">
      <w:pPr>
        <w:pStyle w:val="Paragraphedeliste"/>
        <w:numPr>
          <w:ilvl w:val="1"/>
          <w:numId w:val="12"/>
        </w:numPr>
        <w:spacing w:before="120" w:after="0"/>
        <w:ind w:left="1434" w:hanging="357"/>
        <w:rPr>
          <w:lang w:val="fr-CA"/>
        </w:rPr>
      </w:pPr>
      <w:r w:rsidRPr="00FE34C7">
        <w:rPr>
          <w:lang w:val="fr-CA"/>
        </w:rPr>
        <w:t>du perfectionnement professionnel;</w:t>
      </w:r>
    </w:p>
    <w:p w14:paraId="6B4F983A" w14:textId="583C54C5" w:rsidR="00B71621" w:rsidRPr="00FE34C7" w:rsidRDefault="00B71621" w:rsidP="001720AD">
      <w:pPr>
        <w:pStyle w:val="Paragraphedeliste"/>
        <w:numPr>
          <w:ilvl w:val="1"/>
          <w:numId w:val="12"/>
        </w:numPr>
        <w:spacing w:before="120" w:after="0"/>
        <w:ind w:left="1434" w:hanging="357"/>
        <w:rPr>
          <w:lang w:val="fr-CA"/>
        </w:rPr>
      </w:pPr>
      <w:r w:rsidRPr="00FE34C7">
        <w:rPr>
          <w:lang w:val="fr-CA"/>
        </w:rPr>
        <w:t xml:space="preserve">du temps </w:t>
      </w:r>
      <w:r w:rsidR="00341735" w:rsidRPr="00FE34C7">
        <w:rPr>
          <w:lang w:val="fr-CA"/>
        </w:rPr>
        <w:t xml:space="preserve">payé </w:t>
      </w:r>
      <w:r w:rsidRPr="00FE34C7">
        <w:rPr>
          <w:lang w:val="fr-CA"/>
        </w:rPr>
        <w:t xml:space="preserve">consacré </w:t>
      </w:r>
      <w:r w:rsidR="00341735" w:rsidRPr="00FE34C7">
        <w:rPr>
          <w:lang w:val="fr-CA"/>
        </w:rPr>
        <w:t>à l’élaboration de programmes.</w:t>
      </w:r>
    </w:p>
    <w:p w14:paraId="39CF7B08" w14:textId="1D0B3121" w:rsidR="001E1F26" w:rsidRPr="00FE34C7" w:rsidRDefault="00B836E7" w:rsidP="001E1F26">
      <w:pPr>
        <w:pStyle w:val="Titre2"/>
        <w:rPr>
          <w:lang w:val="fr-CA"/>
        </w:rPr>
      </w:pPr>
      <w:r w:rsidRPr="00FE34C7">
        <w:rPr>
          <w:lang w:val="fr-CA"/>
        </w:rPr>
        <w:t>Soins de santé et soins de longue durée</w:t>
      </w:r>
    </w:p>
    <w:p w14:paraId="1C3FABEB" w14:textId="4877D6ED" w:rsidR="00B61671" w:rsidRPr="00FE34C7" w:rsidRDefault="00BA4DBF" w:rsidP="003F0C3B">
      <w:pPr>
        <w:pStyle w:val="Paragraphedeliste"/>
        <w:numPr>
          <w:ilvl w:val="0"/>
          <w:numId w:val="15"/>
        </w:numPr>
        <w:spacing w:before="240" w:after="240"/>
        <w:rPr>
          <w:lang w:val="fr-CA"/>
        </w:rPr>
      </w:pPr>
      <w:r w:rsidRPr="00FE34C7">
        <w:rPr>
          <w:lang w:val="fr-CA"/>
        </w:rPr>
        <w:t xml:space="preserve">Revenir sur la récente décision d’autoriser </w:t>
      </w:r>
      <w:r w:rsidR="00B61671" w:rsidRPr="00FE34C7">
        <w:rPr>
          <w:lang w:val="fr-CA"/>
        </w:rPr>
        <w:t>la réalisation d’un plus grand nombre de chirurgies dans les cliniques privées</w:t>
      </w:r>
      <w:r w:rsidR="004C4350" w:rsidRPr="00FE34C7">
        <w:rPr>
          <w:lang w:val="fr-CA"/>
        </w:rPr>
        <w:t>, ainsi qu’</w:t>
      </w:r>
      <w:r w:rsidR="00B61671" w:rsidRPr="00FE34C7">
        <w:rPr>
          <w:lang w:val="fr-CA"/>
        </w:rPr>
        <w:t xml:space="preserve">un futur élargissement </w:t>
      </w:r>
      <w:r w:rsidR="003F7B2F" w:rsidRPr="00FE34C7">
        <w:rPr>
          <w:lang w:val="fr-CA"/>
        </w:rPr>
        <w:t>de cette mesure au-delà des chirurgies des cataractes.</w:t>
      </w:r>
    </w:p>
    <w:p w14:paraId="34393930" w14:textId="23800D14" w:rsidR="0010763C" w:rsidRPr="00FE34C7" w:rsidRDefault="0010763C" w:rsidP="001E1F26">
      <w:pPr>
        <w:pStyle w:val="Paragraphedeliste"/>
        <w:numPr>
          <w:ilvl w:val="0"/>
          <w:numId w:val="14"/>
        </w:numPr>
        <w:spacing w:before="240" w:after="0"/>
        <w:rPr>
          <w:lang w:val="fr-CA"/>
        </w:rPr>
      </w:pPr>
      <w:r w:rsidRPr="00FE34C7">
        <w:rPr>
          <w:lang w:val="fr-CA"/>
        </w:rPr>
        <w:t>Mettre en place de nouvelles mesures en matière de soins de santé pour traiter des niveaux de rémunération et de dotation, notamment :</w:t>
      </w:r>
    </w:p>
    <w:p w14:paraId="60AEAB52" w14:textId="27E7B59A" w:rsidR="0010763C" w:rsidRPr="00FE34C7" w:rsidRDefault="0010763C" w:rsidP="001E1F26">
      <w:pPr>
        <w:pStyle w:val="Paragraphedeliste"/>
        <w:numPr>
          <w:ilvl w:val="1"/>
          <w:numId w:val="14"/>
        </w:numPr>
        <w:spacing w:before="120" w:after="100" w:afterAutospacing="1"/>
        <w:ind w:left="1434" w:hanging="357"/>
        <w:rPr>
          <w:lang w:val="fr-CA"/>
        </w:rPr>
      </w:pPr>
      <w:r w:rsidRPr="00FE34C7">
        <w:rPr>
          <w:lang w:val="fr-CA"/>
        </w:rPr>
        <w:t>abroger le projet de loi 124;</w:t>
      </w:r>
    </w:p>
    <w:p w14:paraId="7F2EA843" w14:textId="520C255D" w:rsidR="0010763C" w:rsidRPr="00FE34C7" w:rsidRDefault="0010763C" w:rsidP="001E1F26">
      <w:pPr>
        <w:pStyle w:val="Paragraphedeliste"/>
        <w:numPr>
          <w:ilvl w:val="1"/>
          <w:numId w:val="14"/>
        </w:numPr>
        <w:spacing w:before="120" w:after="100" w:afterAutospacing="1"/>
        <w:ind w:left="1434" w:hanging="357"/>
        <w:rPr>
          <w:lang w:val="fr-CA"/>
        </w:rPr>
      </w:pPr>
      <w:r w:rsidRPr="00FE34C7">
        <w:rPr>
          <w:lang w:val="fr-CA"/>
        </w:rPr>
        <w:t xml:space="preserve">établir un plan </w:t>
      </w:r>
      <w:r w:rsidR="003F6A23" w:rsidRPr="00FE34C7">
        <w:rPr>
          <w:lang w:val="fr-CA"/>
        </w:rPr>
        <w:t>assorti d’un calendrier responsable pour atteindre la parité salariale dans les hôpitaux, les centres de soins de longue durée et les soins à domicile;</w:t>
      </w:r>
    </w:p>
    <w:p w14:paraId="54AAE394" w14:textId="4BAE6F18" w:rsidR="00236CA5" w:rsidRPr="00FE34C7" w:rsidRDefault="00236CA5" w:rsidP="001E1F26">
      <w:pPr>
        <w:pStyle w:val="Paragraphedeliste"/>
        <w:numPr>
          <w:ilvl w:val="1"/>
          <w:numId w:val="14"/>
        </w:numPr>
        <w:spacing w:before="120" w:after="100" w:afterAutospacing="1"/>
        <w:ind w:left="1434" w:hanging="357"/>
        <w:rPr>
          <w:lang w:val="fr-CA"/>
        </w:rPr>
      </w:pPr>
      <w:r w:rsidRPr="00FE34C7">
        <w:rPr>
          <w:lang w:val="fr-CA"/>
        </w:rPr>
        <w:t xml:space="preserve">exiger un ratio </w:t>
      </w:r>
      <w:r w:rsidR="00063C37" w:rsidRPr="00FE34C7">
        <w:rPr>
          <w:lang w:val="fr-CA"/>
        </w:rPr>
        <w:t xml:space="preserve">de personnel à temps plein </w:t>
      </w:r>
      <w:r w:rsidRPr="00FE34C7">
        <w:rPr>
          <w:lang w:val="fr-CA"/>
        </w:rPr>
        <w:t>d’au moins 70 %</w:t>
      </w:r>
      <w:r w:rsidR="00063C37" w:rsidRPr="00FE34C7">
        <w:rPr>
          <w:lang w:val="fr-CA"/>
        </w:rPr>
        <w:t xml:space="preserve"> dans les hôpitaux et les centres de soins de longue durée.</w:t>
      </w:r>
    </w:p>
    <w:p w14:paraId="3C3D22E2" w14:textId="24D5F879" w:rsidR="00A658D2" w:rsidRPr="00FE34C7" w:rsidRDefault="005609A2" w:rsidP="001E1F26">
      <w:pPr>
        <w:pStyle w:val="Paragraphedeliste"/>
        <w:numPr>
          <w:ilvl w:val="0"/>
          <w:numId w:val="13"/>
        </w:numPr>
        <w:spacing w:before="240" w:after="240"/>
        <w:rPr>
          <w:lang w:val="fr-CA"/>
        </w:rPr>
      </w:pPr>
      <w:r w:rsidRPr="00FE34C7">
        <w:rPr>
          <w:lang w:val="fr-CA"/>
        </w:rPr>
        <w:lastRenderedPageBreak/>
        <w:t xml:space="preserve">Éliminer </w:t>
      </w:r>
      <w:r w:rsidR="00A658D2" w:rsidRPr="00FE34C7">
        <w:rPr>
          <w:lang w:val="fr-CA"/>
        </w:rPr>
        <w:t xml:space="preserve">progressivement les centres de soins de longue durée à but lucratif et faire une transition vers les centres de soins communautaires et </w:t>
      </w:r>
      <w:r w:rsidR="00BC1947" w:rsidRPr="00FE34C7">
        <w:rPr>
          <w:lang w:val="fr-CA"/>
        </w:rPr>
        <w:t xml:space="preserve">publics </w:t>
      </w:r>
      <w:r w:rsidR="00BC1947" w:rsidRPr="00FE34C7">
        <w:rPr>
          <w:lang w:val="fr-CA"/>
        </w:rPr>
        <w:t>sans but lucratif</w:t>
      </w:r>
      <w:r w:rsidR="00A658D2" w:rsidRPr="00FE34C7">
        <w:rPr>
          <w:lang w:val="fr-CA"/>
        </w:rPr>
        <w:t>.</w:t>
      </w:r>
    </w:p>
    <w:p w14:paraId="00A3E8F9" w14:textId="36D8B508" w:rsidR="00A658D2" w:rsidRPr="00FE34C7" w:rsidRDefault="00A658D2" w:rsidP="001E1F26">
      <w:pPr>
        <w:pStyle w:val="Paragraphedeliste"/>
        <w:numPr>
          <w:ilvl w:val="0"/>
          <w:numId w:val="13"/>
        </w:numPr>
        <w:spacing w:before="240" w:after="240"/>
        <w:rPr>
          <w:lang w:val="fr-CA"/>
        </w:rPr>
      </w:pPr>
      <w:r w:rsidRPr="00FE34C7">
        <w:rPr>
          <w:lang w:val="fr-CA"/>
        </w:rPr>
        <w:t xml:space="preserve">S’assurer que la norme de quatre heures de soins est </w:t>
      </w:r>
      <w:r w:rsidR="00B11FE0" w:rsidRPr="00FE34C7">
        <w:rPr>
          <w:lang w:val="fr-CA"/>
        </w:rPr>
        <w:t xml:space="preserve">appliquée </w:t>
      </w:r>
      <w:r w:rsidRPr="00FE34C7">
        <w:rPr>
          <w:lang w:val="fr-CA"/>
        </w:rPr>
        <w:t xml:space="preserve">dans les </w:t>
      </w:r>
      <w:r w:rsidR="00D23763" w:rsidRPr="00FE34C7">
        <w:rPr>
          <w:lang w:val="fr-CA"/>
        </w:rPr>
        <w:t>centres</w:t>
      </w:r>
      <w:r w:rsidRPr="00FE34C7">
        <w:rPr>
          <w:lang w:val="fr-CA"/>
        </w:rPr>
        <w:t xml:space="preserve"> de soins de longue durée et tenir les centres responsables </w:t>
      </w:r>
      <w:r w:rsidR="00D23763" w:rsidRPr="00FE34C7">
        <w:rPr>
          <w:lang w:val="fr-CA"/>
        </w:rPr>
        <w:t>du respect de la norme.</w:t>
      </w:r>
    </w:p>
    <w:p w14:paraId="73BFC899" w14:textId="4B8CBB74" w:rsidR="001E1F26" w:rsidRPr="00FE34C7" w:rsidRDefault="00B836E7" w:rsidP="001E1F26">
      <w:pPr>
        <w:pStyle w:val="Titre2"/>
        <w:rPr>
          <w:lang w:val="fr-CA"/>
        </w:rPr>
      </w:pPr>
      <w:r w:rsidRPr="00FE34C7">
        <w:rPr>
          <w:lang w:val="fr-CA"/>
        </w:rPr>
        <w:t>Assurance-médicaments</w:t>
      </w:r>
    </w:p>
    <w:p w14:paraId="5C503DEE" w14:textId="5DEEEDAB" w:rsidR="00A658D2" w:rsidRPr="00FE34C7" w:rsidRDefault="00A658D2" w:rsidP="001E1F26">
      <w:pPr>
        <w:pStyle w:val="Paragraphedeliste"/>
        <w:numPr>
          <w:ilvl w:val="0"/>
          <w:numId w:val="13"/>
        </w:numPr>
        <w:spacing w:before="240" w:after="240"/>
        <w:contextualSpacing/>
        <w:rPr>
          <w:lang w:val="fr-CA"/>
        </w:rPr>
      </w:pPr>
      <w:r w:rsidRPr="00FE34C7">
        <w:rPr>
          <w:lang w:val="fr-CA"/>
        </w:rPr>
        <w:t xml:space="preserve">Entamer les négociations avec le gouvernement fédéral afin de mettre en place un programme </w:t>
      </w:r>
      <w:r w:rsidR="00790E9E" w:rsidRPr="00FE34C7">
        <w:rPr>
          <w:lang w:val="fr-CA"/>
        </w:rPr>
        <w:t xml:space="preserve">provincial </w:t>
      </w:r>
      <w:r w:rsidRPr="00FE34C7">
        <w:rPr>
          <w:lang w:val="fr-CA"/>
        </w:rPr>
        <w:t>d’assurance-médicaments financé par l’État</w:t>
      </w:r>
      <w:r w:rsidR="00790E9E" w:rsidRPr="00FE34C7">
        <w:rPr>
          <w:lang w:val="fr-CA"/>
        </w:rPr>
        <w:t xml:space="preserve"> et permettant à tous les Ontariens et Ontariennes d’avoir accès </w:t>
      </w:r>
      <w:r w:rsidR="00B40062" w:rsidRPr="00FE34C7">
        <w:rPr>
          <w:lang w:val="fr-CA"/>
        </w:rPr>
        <w:t xml:space="preserve">gratuitement </w:t>
      </w:r>
      <w:r w:rsidR="00790E9E" w:rsidRPr="00FE34C7">
        <w:rPr>
          <w:lang w:val="fr-CA"/>
        </w:rPr>
        <w:t>à des médicaments sur ordonnance.</w:t>
      </w:r>
    </w:p>
    <w:p w14:paraId="7A324DE7" w14:textId="6000211C" w:rsidR="001E1F26" w:rsidRPr="00FE34C7" w:rsidRDefault="00B836E7" w:rsidP="001E1F26">
      <w:pPr>
        <w:pStyle w:val="Titre2"/>
        <w:rPr>
          <w:lang w:val="fr-CA"/>
        </w:rPr>
      </w:pPr>
      <w:r w:rsidRPr="00FE34C7">
        <w:rPr>
          <w:lang w:val="fr-CA"/>
        </w:rPr>
        <w:t>Transport en commun</w:t>
      </w:r>
    </w:p>
    <w:p w14:paraId="4A7A8D46" w14:textId="260437FC" w:rsidR="00630AF1" w:rsidRPr="00FE34C7" w:rsidRDefault="003D06F5" w:rsidP="001E1F26">
      <w:pPr>
        <w:pStyle w:val="Paragraphedeliste"/>
        <w:numPr>
          <w:ilvl w:val="0"/>
          <w:numId w:val="13"/>
        </w:numPr>
        <w:spacing w:before="240" w:after="240"/>
        <w:rPr>
          <w:lang w:val="fr-CA"/>
        </w:rPr>
      </w:pPr>
      <w:r w:rsidRPr="00FE34C7">
        <w:rPr>
          <w:lang w:val="fr-CA"/>
        </w:rPr>
        <w:t xml:space="preserve">Allouer un </w:t>
      </w:r>
      <w:r w:rsidR="00630AF1" w:rsidRPr="00FE34C7">
        <w:rPr>
          <w:lang w:val="fr-CA"/>
        </w:rPr>
        <w:t xml:space="preserve">financement adéquat et permanent pour maintenir </w:t>
      </w:r>
      <w:r w:rsidR="00712608" w:rsidRPr="00FE34C7">
        <w:rPr>
          <w:lang w:val="fr-CA"/>
        </w:rPr>
        <w:t xml:space="preserve">et développer </w:t>
      </w:r>
      <w:r w:rsidR="00630AF1" w:rsidRPr="00FE34C7">
        <w:rPr>
          <w:lang w:val="fr-CA"/>
        </w:rPr>
        <w:t xml:space="preserve">un </w:t>
      </w:r>
      <w:r w:rsidR="00712608" w:rsidRPr="00FE34C7">
        <w:rPr>
          <w:lang w:val="fr-CA"/>
        </w:rPr>
        <w:t xml:space="preserve">service et une infrastructure de transport en commun abordable et de qualité, et </w:t>
      </w:r>
      <w:r w:rsidR="007B798D" w:rsidRPr="00FE34C7">
        <w:rPr>
          <w:lang w:val="fr-CA"/>
        </w:rPr>
        <w:t xml:space="preserve">interdire l’utilisation de fonds publics </w:t>
      </w:r>
      <w:r w:rsidR="00CD09CD" w:rsidRPr="00FE34C7">
        <w:rPr>
          <w:lang w:val="fr-CA"/>
        </w:rPr>
        <w:t xml:space="preserve">pour </w:t>
      </w:r>
      <w:r w:rsidR="007B798D" w:rsidRPr="00FE34C7">
        <w:rPr>
          <w:lang w:val="fr-CA"/>
        </w:rPr>
        <w:t xml:space="preserve">réduire et </w:t>
      </w:r>
      <w:r w:rsidR="00CD09CD" w:rsidRPr="00FE34C7">
        <w:rPr>
          <w:lang w:val="fr-CA"/>
        </w:rPr>
        <w:t xml:space="preserve">éliminer les itinéraires </w:t>
      </w:r>
      <w:r w:rsidR="00867D47" w:rsidRPr="00FE34C7">
        <w:rPr>
          <w:lang w:val="fr-CA"/>
        </w:rPr>
        <w:t xml:space="preserve">à l’échelle municipale </w:t>
      </w:r>
      <w:r w:rsidR="00CD09CD" w:rsidRPr="00FE34C7">
        <w:rPr>
          <w:lang w:val="fr-CA"/>
        </w:rPr>
        <w:t xml:space="preserve">en les remplaçant </w:t>
      </w:r>
      <w:r w:rsidR="00B23F5F" w:rsidRPr="00FE34C7">
        <w:rPr>
          <w:lang w:val="fr-CA"/>
        </w:rPr>
        <w:t>par des services de micro-transport privé (p. ex. Uber, Lyft).</w:t>
      </w:r>
    </w:p>
    <w:p w14:paraId="7EF9D59D" w14:textId="13A3C99D" w:rsidR="00B23F5F" w:rsidRPr="00FE34C7" w:rsidRDefault="00B23F5F" w:rsidP="001E1F26">
      <w:pPr>
        <w:pStyle w:val="Paragraphedeliste"/>
        <w:numPr>
          <w:ilvl w:val="0"/>
          <w:numId w:val="13"/>
        </w:numPr>
        <w:spacing w:before="240" w:after="240"/>
        <w:rPr>
          <w:lang w:val="fr-CA"/>
        </w:rPr>
      </w:pPr>
      <w:r w:rsidRPr="00FE34C7">
        <w:rPr>
          <w:lang w:val="fr-CA"/>
        </w:rPr>
        <w:t>S’assurer que l</w:t>
      </w:r>
      <w:r w:rsidR="004C4350" w:rsidRPr="00FE34C7">
        <w:rPr>
          <w:lang w:val="fr-CA"/>
        </w:rPr>
        <w:t xml:space="preserve">es marchés pour la construction </w:t>
      </w:r>
      <w:r w:rsidRPr="00FE34C7">
        <w:rPr>
          <w:lang w:val="fr-CA"/>
        </w:rPr>
        <w:t xml:space="preserve">de véhicules de transport en commun </w:t>
      </w:r>
      <w:r w:rsidR="006F72DF" w:rsidRPr="00FE34C7">
        <w:rPr>
          <w:lang w:val="fr-CA"/>
        </w:rPr>
        <w:t>exige</w:t>
      </w:r>
      <w:r w:rsidR="004C4350" w:rsidRPr="00FE34C7">
        <w:rPr>
          <w:lang w:val="fr-CA"/>
        </w:rPr>
        <w:t>nt</w:t>
      </w:r>
      <w:r w:rsidR="006F72DF" w:rsidRPr="00FE34C7">
        <w:rPr>
          <w:lang w:val="fr-CA"/>
        </w:rPr>
        <w:t xml:space="preserve"> </w:t>
      </w:r>
      <w:r w:rsidR="003C485D" w:rsidRPr="00FE34C7">
        <w:rPr>
          <w:lang w:val="fr-CA"/>
        </w:rPr>
        <w:t xml:space="preserve">le </w:t>
      </w:r>
      <w:r w:rsidR="003B1EEA" w:rsidRPr="00FE34C7">
        <w:rPr>
          <w:lang w:val="fr-CA"/>
        </w:rPr>
        <w:t>plus grand contenu canadien possible afin de créer de bons emplois et de les maintenir dans l’ensemble de la province.</w:t>
      </w:r>
      <w:r w:rsidR="003C485D" w:rsidRPr="00FE34C7">
        <w:rPr>
          <w:lang w:val="fr-CA"/>
        </w:rPr>
        <w:t xml:space="preserve"> </w:t>
      </w:r>
    </w:p>
    <w:p w14:paraId="0AA947F3" w14:textId="6866A0B7" w:rsidR="001E1F26" w:rsidRPr="00FE34C7" w:rsidRDefault="001E1F26" w:rsidP="001E1F26">
      <w:pPr>
        <w:pStyle w:val="Titre1"/>
        <w:rPr>
          <w:lang w:val="fr-CA"/>
        </w:rPr>
      </w:pPr>
      <w:r w:rsidRPr="00FE34C7">
        <w:rPr>
          <w:lang w:val="fr-CA"/>
        </w:rPr>
        <w:t>S</w:t>
      </w:r>
      <w:r w:rsidR="00B836E7" w:rsidRPr="00FE34C7">
        <w:rPr>
          <w:lang w:val="fr-CA"/>
        </w:rPr>
        <w:t>outien aux travailleuses et travailleurs</w:t>
      </w:r>
    </w:p>
    <w:p w14:paraId="7E7C8382" w14:textId="0D76C744" w:rsidR="003F647B" w:rsidRPr="00FE34C7" w:rsidRDefault="003F647B" w:rsidP="001E1F26">
      <w:pPr>
        <w:numPr>
          <w:ilvl w:val="0"/>
          <w:numId w:val="16"/>
        </w:numPr>
        <w:spacing w:before="240" w:beforeAutospacing="0" w:after="240" w:afterAutospacing="0"/>
        <w:rPr>
          <w:lang w:val="fr-CA"/>
        </w:rPr>
      </w:pPr>
      <w:r w:rsidRPr="00FE34C7">
        <w:rPr>
          <w:lang w:val="fr-CA"/>
        </w:rPr>
        <w:t xml:space="preserve">Poursuivre les efforts visant à hausser le salaire minimum </w:t>
      </w:r>
      <w:r w:rsidR="007D792F" w:rsidRPr="00FE34C7">
        <w:rPr>
          <w:lang w:val="fr-CA"/>
        </w:rPr>
        <w:t xml:space="preserve">et </w:t>
      </w:r>
      <w:r w:rsidR="005D283D" w:rsidRPr="00FE34C7">
        <w:rPr>
          <w:lang w:val="fr-CA"/>
        </w:rPr>
        <w:t>s’assurer que les travailleuses et travailleurs des services essentiels sont payés en fonction de la valeur qu’ils offrent à la société.</w:t>
      </w:r>
    </w:p>
    <w:p w14:paraId="188A874C" w14:textId="366D5587" w:rsidR="00CD01F1" w:rsidRPr="00FE34C7" w:rsidRDefault="00CD01F1" w:rsidP="001E1F26">
      <w:pPr>
        <w:numPr>
          <w:ilvl w:val="1"/>
          <w:numId w:val="16"/>
        </w:numPr>
        <w:spacing w:before="240" w:beforeAutospacing="0" w:after="240" w:afterAutospacing="0"/>
        <w:rPr>
          <w:lang w:val="fr-CA"/>
        </w:rPr>
      </w:pPr>
      <w:r w:rsidRPr="00FE34C7">
        <w:rPr>
          <w:lang w:val="fr-CA"/>
        </w:rPr>
        <w:t>Hausser le salaire minimum à 60 % du salaire médian des travailleuses et travailleurs à temps plein (</w:t>
      </w:r>
      <w:r w:rsidR="009E4ABD" w:rsidRPr="00FE34C7">
        <w:rPr>
          <w:lang w:val="fr-CA"/>
        </w:rPr>
        <w:t xml:space="preserve">selon cette référence, le salaire minimum en Ontario en 2022 </w:t>
      </w:r>
      <w:r w:rsidR="001A4877" w:rsidRPr="00FE34C7">
        <w:rPr>
          <w:lang w:val="fr-CA"/>
        </w:rPr>
        <w:t xml:space="preserve">devrait être </w:t>
      </w:r>
      <w:r w:rsidR="009E4ABD" w:rsidRPr="00FE34C7">
        <w:rPr>
          <w:lang w:val="fr-CA"/>
        </w:rPr>
        <w:t>de 18 $ l’heure</w:t>
      </w:r>
      <w:r w:rsidRPr="00FE34C7">
        <w:rPr>
          <w:lang w:val="fr-CA"/>
        </w:rPr>
        <w:t>).</w:t>
      </w:r>
    </w:p>
    <w:p w14:paraId="1A566902" w14:textId="6B724009" w:rsidR="00FE6400" w:rsidRPr="00FE34C7" w:rsidRDefault="00FE6400" w:rsidP="001E1F26">
      <w:pPr>
        <w:numPr>
          <w:ilvl w:val="1"/>
          <w:numId w:val="16"/>
        </w:numPr>
        <w:spacing w:before="240" w:beforeAutospacing="0" w:after="240" w:afterAutospacing="0"/>
        <w:rPr>
          <w:lang w:val="fr-CA"/>
        </w:rPr>
      </w:pPr>
      <w:r w:rsidRPr="00FE34C7">
        <w:rPr>
          <w:lang w:val="fr-CA"/>
        </w:rPr>
        <w:t xml:space="preserve">Accorder un financement supplémentaire afin d’augmenter les salaires des travailleuses et travailleurs à bas salaire dans le secteur public élargi, notamment les </w:t>
      </w:r>
      <w:r w:rsidR="00E9338C" w:rsidRPr="00FE34C7">
        <w:rPr>
          <w:lang w:val="fr-CA"/>
        </w:rPr>
        <w:t xml:space="preserve">services de garde d’enfants, </w:t>
      </w:r>
      <w:r w:rsidR="00F9055F" w:rsidRPr="00FE34C7">
        <w:rPr>
          <w:lang w:val="fr-CA"/>
        </w:rPr>
        <w:t>l</w:t>
      </w:r>
      <w:r w:rsidR="00E9338C" w:rsidRPr="00FE34C7">
        <w:rPr>
          <w:lang w:val="fr-CA"/>
        </w:rPr>
        <w:t xml:space="preserve">es services sociaux, </w:t>
      </w:r>
      <w:r w:rsidR="00F9055F" w:rsidRPr="00FE34C7">
        <w:rPr>
          <w:lang w:val="fr-CA"/>
        </w:rPr>
        <w:t>l</w:t>
      </w:r>
      <w:r w:rsidR="00E9338C" w:rsidRPr="00FE34C7">
        <w:rPr>
          <w:lang w:val="fr-CA"/>
        </w:rPr>
        <w:t>es soins de santé et l’éducation.</w:t>
      </w:r>
    </w:p>
    <w:p w14:paraId="0466BAE5" w14:textId="7FEF8D52" w:rsidR="00A70527" w:rsidRPr="00FE34C7" w:rsidRDefault="00A70527" w:rsidP="001E1F26">
      <w:pPr>
        <w:numPr>
          <w:ilvl w:val="0"/>
          <w:numId w:val="16"/>
        </w:numPr>
        <w:spacing w:before="240" w:beforeAutospacing="0" w:after="240" w:afterAutospacing="0"/>
        <w:rPr>
          <w:lang w:val="fr-CA"/>
        </w:rPr>
      </w:pPr>
      <w:r w:rsidRPr="00FE34C7">
        <w:rPr>
          <w:lang w:val="fr-CA"/>
        </w:rPr>
        <w:t>Instaurer un congé de maladie payé permanent de 10 jours</w:t>
      </w:r>
      <w:r w:rsidR="00004628" w:rsidRPr="00FE34C7">
        <w:rPr>
          <w:lang w:val="fr-CA"/>
        </w:rPr>
        <w:t xml:space="preserve">, et offrir des jours de congé supplémentaires lors des périodes d’isolement ou de quarantaine pendant une crise de santé publique. Les jours de congé de maladie payé doivent être </w:t>
      </w:r>
      <w:r w:rsidR="001260B1" w:rsidRPr="00FE34C7">
        <w:rPr>
          <w:lang w:val="fr-CA"/>
        </w:rPr>
        <w:t>accessibles à tous, flexibles, payés par l’employeur et ne pas nécessiter un billet du médecin.</w:t>
      </w:r>
    </w:p>
    <w:p w14:paraId="69299263" w14:textId="6463F31A" w:rsidR="00B16701" w:rsidRPr="00FE34C7" w:rsidRDefault="00B16701" w:rsidP="001E1F26">
      <w:pPr>
        <w:numPr>
          <w:ilvl w:val="0"/>
          <w:numId w:val="16"/>
        </w:numPr>
        <w:spacing w:before="240" w:beforeAutospacing="0" w:after="240" w:afterAutospacing="0"/>
        <w:rPr>
          <w:lang w:val="fr-CA"/>
        </w:rPr>
      </w:pPr>
      <w:r w:rsidRPr="00FE34C7">
        <w:rPr>
          <w:lang w:val="fr-CA"/>
        </w:rPr>
        <w:lastRenderedPageBreak/>
        <w:t>Embaucher un plus grand nombre d’inspecteurs en santé et sécurité en milieu de travail pour s’assurer que les lois et les règlements en matière de santé et de sécurité sont respectés et que les milieux de travail sont sécuritaires</w:t>
      </w:r>
      <w:r w:rsidR="0048521D" w:rsidRPr="00FE34C7">
        <w:rPr>
          <w:lang w:val="fr-CA"/>
        </w:rPr>
        <w:t>.</w:t>
      </w:r>
    </w:p>
    <w:p w14:paraId="0C3B6E9C" w14:textId="7D22A6BC" w:rsidR="00A915ED" w:rsidRPr="00FE34C7" w:rsidRDefault="00A915ED" w:rsidP="001E1F26">
      <w:pPr>
        <w:numPr>
          <w:ilvl w:val="0"/>
          <w:numId w:val="16"/>
        </w:numPr>
        <w:spacing w:before="240" w:beforeAutospacing="0" w:after="240" w:afterAutospacing="0"/>
        <w:rPr>
          <w:lang w:val="fr-CA"/>
        </w:rPr>
      </w:pPr>
      <w:r w:rsidRPr="00FE34C7">
        <w:rPr>
          <w:lang w:val="fr-CA"/>
        </w:rPr>
        <w:t>Adopter une loi qui permet l’accréditation syndicale par vérification des cartes.</w:t>
      </w:r>
    </w:p>
    <w:p w14:paraId="5ACBB3A9" w14:textId="123B81A2" w:rsidR="00A93C49" w:rsidRPr="00FE34C7" w:rsidRDefault="00A93C49" w:rsidP="001E1F26">
      <w:pPr>
        <w:pStyle w:val="Titre1"/>
        <w:rPr>
          <w:lang w:val="fr-CA"/>
        </w:rPr>
      </w:pPr>
      <w:r w:rsidRPr="00FE34C7">
        <w:rPr>
          <w:lang w:val="fr-CA"/>
        </w:rPr>
        <w:t>Investir dans les programmes d’adaptation de la main-d’œuvre</w:t>
      </w:r>
    </w:p>
    <w:p w14:paraId="77A3DE6A" w14:textId="34F67F00" w:rsidR="00450632" w:rsidRPr="00FE34C7" w:rsidRDefault="00450632" w:rsidP="001E1F26">
      <w:pPr>
        <w:pStyle w:val="Paragraphedeliste"/>
        <w:numPr>
          <w:ilvl w:val="0"/>
          <w:numId w:val="16"/>
        </w:numPr>
        <w:spacing w:before="240" w:after="240"/>
        <w:rPr>
          <w:lang w:val="fr-CA"/>
        </w:rPr>
      </w:pPr>
      <w:r w:rsidRPr="00FE34C7">
        <w:rPr>
          <w:lang w:val="fr-CA"/>
        </w:rPr>
        <w:t xml:space="preserve">Garantir un financement provincial adéquat et permanent pour maintenir les ententes du Programme d’adaptation de la main-d’œuvre et les élargir à l’ensemble de la province </w:t>
      </w:r>
      <w:r w:rsidR="007D2732" w:rsidRPr="00FE34C7">
        <w:rPr>
          <w:lang w:val="fr-CA"/>
        </w:rPr>
        <w:t>dans un contexte de fermeture d’entreprise.</w:t>
      </w:r>
      <w:r w:rsidRPr="00FE34C7">
        <w:rPr>
          <w:lang w:val="fr-CA"/>
        </w:rPr>
        <w:t xml:space="preserve"> </w:t>
      </w:r>
    </w:p>
    <w:p w14:paraId="785BA4F9" w14:textId="7CF91AEB" w:rsidR="005D30BA" w:rsidRPr="00FE34C7" w:rsidRDefault="005D30BA" w:rsidP="001E1F26">
      <w:pPr>
        <w:pStyle w:val="Paragraphedeliste"/>
        <w:numPr>
          <w:ilvl w:val="0"/>
          <w:numId w:val="16"/>
        </w:numPr>
        <w:spacing w:before="240" w:after="240"/>
        <w:rPr>
          <w:lang w:val="fr-CA"/>
        </w:rPr>
      </w:pPr>
      <w:r w:rsidRPr="00FE34C7">
        <w:rPr>
          <w:lang w:val="fr-CA"/>
        </w:rPr>
        <w:t xml:space="preserve">Continuer de mettre sur pied des centres d’action et des comités d’adaptation de la main-d’œuvre </w:t>
      </w:r>
      <w:r w:rsidR="00FB3834" w:rsidRPr="00FE34C7">
        <w:rPr>
          <w:lang w:val="fr-CA"/>
        </w:rPr>
        <w:t xml:space="preserve">par le biais de partenariats </w:t>
      </w:r>
      <w:r w:rsidR="008E45D4" w:rsidRPr="00FE34C7">
        <w:rPr>
          <w:lang w:val="fr-CA"/>
        </w:rPr>
        <w:t xml:space="preserve">avec des syndicats </w:t>
      </w:r>
      <w:r w:rsidR="00FB3834" w:rsidRPr="00FE34C7">
        <w:rPr>
          <w:lang w:val="fr-CA"/>
        </w:rPr>
        <w:t xml:space="preserve">dans le cadre du Programme d’adaptation de la main-d’œuvre pour </w:t>
      </w:r>
      <w:r w:rsidR="00B52796" w:rsidRPr="00FE34C7">
        <w:rPr>
          <w:lang w:val="fr-CA"/>
        </w:rPr>
        <w:t>garantir une approche collaborative holistique axée sur les pairs en matière d’adaptation de la main</w:t>
      </w:r>
      <w:r w:rsidR="00B52796" w:rsidRPr="00FE34C7">
        <w:rPr>
          <w:lang w:val="fr-CA"/>
        </w:rPr>
        <w:noBreakHyphen/>
        <w:t>d’œuvre.</w:t>
      </w:r>
    </w:p>
    <w:p w14:paraId="1578535D" w14:textId="300AE7F3" w:rsidR="000E6153" w:rsidRPr="00FE34C7" w:rsidRDefault="000E6153" w:rsidP="001E1F26">
      <w:pPr>
        <w:pStyle w:val="Paragraphedeliste"/>
        <w:numPr>
          <w:ilvl w:val="0"/>
          <w:numId w:val="16"/>
        </w:numPr>
        <w:spacing w:before="240" w:after="240"/>
        <w:rPr>
          <w:lang w:val="fr-CA"/>
        </w:rPr>
      </w:pPr>
      <w:r w:rsidRPr="00FE34C7">
        <w:rPr>
          <w:lang w:val="fr-CA"/>
        </w:rPr>
        <w:t>Utiliser les ententes et les partenariats conclus dans le cadre du Programme d’adaptation de la main-d’œuvre pour créer un programme d’adaptation de la main</w:t>
      </w:r>
      <w:r w:rsidRPr="00FE34C7">
        <w:rPr>
          <w:lang w:val="fr-CA"/>
        </w:rPr>
        <w:noBreakHyphen/>
        <w:t xml:space="preserve">d’œuvre dans </w:t>
      </w:r>
      <w:r w:rsidR="001166B9" w:rsidRPr="00FE34C7">
        <w:rPr>
          <w:lang w:val="fr-CA"/>
        </w:rPr>
        <w:t>le secteur de l’</w:t>
      </w:r>
      <w:r w:rsidRPr="00FE34C7">
        <w:rPr>
          <w:lang w:val="fr-CA"/>
        </w:rPr>
        <w:t xml:space="preserve">automobile </w:t>
      </w:r>
      <w:r w:rsidR="001166B9" w:rsidRPr="00FE34C7">
        <w:rPr>
          <w:lang w:val="fr-CA"/>
        </w:rPr>
        <w:t xml:space="preserve">pour les </w:t>
      </w:r>
      <w:r w:rsidR="00C414FA" w:rsidRPr="00FE34C7">
        <w:rPr>
          <w:lang w:val="fr-CA"/>
        </w:rPr>
        <w:t xml:space="preserve">travailleuses et travailleurs de l’automobile affectés par </w:t>
      </w:r>
      <w:r w:rsidR="00912372" w:rsidRPr="00FE34C7">
        <w:rPr>
          <w:lang w:val="fr-CA"/>
        </w:rPr>
        <w:t>la suppression d’emplois découlant d’une transition vers les véhicules à émission zéro ou d’autres changements technologiques majeurs.</w:t>
      </w:r>
    </w:p>
    <w:p w14:paraId="762E2FA4" w14:textId="323A768A" w:rsidR="00B923EE" w:rsidRPr="00FE34C7" w:rsidRDefault="00B923EE" w:rsidP="001E1F26">
      <w:pPr>
        <w:pStyle w:val="Titre1"/>
        <w:rPr>
          <w:lang w:val="fr-CA"/>
        </w:rPr>
      </w:pPr>
      <w:r w:rsidRPr="00FE34C7">
        <w:rPr>
          <w:lang w:val="fr-CA"/>
        </w:rPr>
        <w:t>Stratégie pour le secteur de l’automobile</w:t>
      </w:r>
      <w:r w:rsidR="007E0431" w:rsidRPr="00FE34C7">
        <w:rPr>
          <w:lang w:val="fr-CA"/>
        </w:rPr>
        <w:t xml:space="preserve"> et véhicules électriques</w:t>
      </w:r>
    </w:p>
    <w:p w14:paraId="5868D5F9" w14:textId="7446A548" w:rsidR="00675771" w:rsidRPr="00FE34C7" w:rsidRDefault="00675771" w:rsidP="001E1F26">
      <w:pPr>
        <w:numPr>
          <w:ilvl w:val="0"/>
          <w:numId w:val="16"/>
        </w:numPr>
        <w:spacing w:before="240" w:beforeAutospacing="0" w:after="240" w:afterAutospacing="0"/>
        <w:rPr>
          <w:lang w:val="fr-CA"/>
        </w:rPr>
      </w:pPr>
      <w:r w:rsidRPr="00FE34C7">
        <w:rPr>
          <w:lang w:val="fr-CA"/>
        </w:rPr>
        <w:t>Collaborer avec les gouvernements fédéral et municipaux dans le cadre d’une stratégie</w:t>
      </w:r>
      <w:r w:rsidR="00457F77" w:rsidRPr="00FE34C7">
        <w:rPr>
          <w:lang w:val="fr-CA"/>
        </w:rPr>
        <w:t xml:space="preserve"> exhaustive et ciblée de construction de véhicules qui met en œuvre les 29 recommandations d’Unifor dans son programme d’orientation intitulé </w:t>
      </w:r>
      <w:r w:rsidR="00DE45E1" w:rsidRPr="00FE34C7">
        <w:rPr>
          <w:i/>
          <w:iCs/>
          <w:lang w:val="fr-CA"/>
        </w:rPr>
        <w:t>Tracer la voie vers la reconstruction du puissant secteur canadien de l’automobile</w:t>
      </w:r>
      <w:r w:rsidR="00DE45E1" w:rsidRPr="00FE34C7">
        <w:rPr>
          <w:lang w:val="fr-CA"/>
        </w:rPr>
        <w:t xml:space="preserve"> et </w:t>
      </w:r>
      <w:r w:rsidR="0043075A" w:rsidRPr="00FE34C7">
        <w:rPr>
          <w:lang w:val="fr-CA"/>
        </w:rPr>
        <w:t xml:space="preserve">qui favorise les investissements dans les programmes de construction de véhicules à émission zéro, </w:t>
      </w:r>
      <w:r w:rsidR="0054369A" w:rsidRPr="00FE34C7">
        <w:rPr>
          <w:lang w:val="fr-CA"/>
        </w:rPr>
        <w:t xml:space="preserve">de </w:t>
      </w:r>
      <w:r w:rsidR="005E64C3" w:rsidRPr="00FE34C7">
        <w:rPr>
          <w:lang w:val="fr-CA"/>
        </w:rPr>
        <w:t xml:space="preserve">production d’éléments de batterie </w:t>
      </w:r>
      <w:r w:rsidR="0054369A" w:rsidRPr="00FE34C7">
        <w:rPr>
          <w:lang w:val="fr-CA"/>
        </w:rPr>
        <w:t>et d’autres composants critiques, et de construction de moteurs à combustion interne et de groupes motopropulseurs.</w:t>
      </w:r>
    </w:p>
    <w:p w14:paraId="4ECB4777" w14:textId="589339F8" w:rsidR="0054369A" w:rsidRPr="00FE34C7" w:rsidRDefault="0054369A" w:rsidP="001E1F26">
      <w:pPr>
        <w:numPr>
          <w:ilvl w:val="0"/>
          <w:numId w:val="16"/>
        </w:numPr>
        <w:spacing w:before="240" w:beforeAutospacing="0" w:after="240" w:afterAutospacing="0"/>
        <w:rPr>
          <w:lang w:val="fr-CA"/>
        </w:rPr>
      </w:pPr>
      <w:r w:rsidRPr="00FE34C7">
        <w:rPr>
          <w:lang w:val="fr-CA"/>
        </w:rPr>
        <w:t xml:space="preserve">Continuer d’investir dans </w:t>
      </w:r>
      <w:r w:rsidR="004E2ECB" w:rsidRPr="00FE34C7">
        <w:rPr>
          <w:lang w:val="fr-CA"/>
        </w:rPr>
        <w:t>la construction d’</w:t>
      </w:r>
      <w:r w:rsidRPr="00FE34C7">
        <w:rPr>
          <w:lang w:val="fr-CA"/>
        </w:rPr>
        <w:t xml:space="preserve">infrastructures pour véhicules électriques, y compris les bornes de </w:t>
      </w:r>
      <w:r w:rsidR="00D81335" w:rsidRPr="00FE34C7">
        <w:rPr>
          <w:lang w:val="fr-CA"/>
        </w:rPr>
        <w:t>recharge (</w:t>
      </w:r>
      <w:r w:rsidR="00C27438" w:rsidRPr="00FE34C7">
        <w:rPr>
          <w:lang w:val="fr-CA"/>
        </w:rPr>
        <w:t>une mesure qui respecte le taux cible d’une borne de recharge pour 10 véhicules électriques routiers</w:t>
      </w:r>
      <w:r w:rsidR="00D81335" w:rsidRPr="00FE34C7">
        <w:rPr>
          <w:lang w:val="fr-CA"/>
        </w:rPr>
        <w:t>)</w:t>
      </w:r>
      <w:r w:rsidR="00C27438" w:rsidRPr="00FE34C7">
        <w:rPr>
          <w:lang w:val="fr-CA"/>
        </w:rPr>
        <w:t xml:space="preserve">, </w:t>
      </w:r>
      <w:r w:rsidR="004E2ECB" w:rsidRPr="00FE34C7">
        <w:rPr>
          <w:lang w:val="fr-CA"/>
        </w:rPr>
        <w:t xml:space="preserve">et </w:t>
      </w:r>
      <w:r w:rsidR="003B2449" w:rsidRPr="00FE34C7">
        <w:rPr>
          <w:lang w:val="fr-CA"/>
        </w:rPr>
        <w:t xml:space="preserve">la croissance des sources d’énergie propre et renouvelable pour </w:t>
      </w:r>
      <w:r w:rsidR="0089796F" w:rsidRPr="00FE34C7">
        <w:rPr>
          <w:lang w:val="fr-CA"/>
        </w:rPr>
        <w:t>renforcer le système électrique provincial.</w:t>
      </w:r>
    </w:p>
    <w:p w14:paraId="7BAF35C9" w14:textId="4B171527" w:rsidR="00A31D9D" w:rsidRPr="00FE34C7" w:rsidRDefault="00A31D9D" w:rsidP="00B67F4D">
      <w:pPr>
        <w:numPr>
          <w:ilvl w:val="0"/>
          <w:numId w:val="16"/>
        </w:numPr>
        <w:spacing w:before="240" w:beforeAutospacing="0" w:after="240" w:afterAutospacing="0"/>
        <w:rPr>
          <w:lang w:val="fr-CA"/>
        </w:rPr>
      </w:pPr>
      <w:r w:rsidRPr="00FE34C7">
        <w:rPr>
          <w:lang w:val="fr-CA"/>
        </w:rPr>
        <w:t xml:space="preserve">Rétablir les incitatifs pour les consommateurs </w:t>
      </w:r>
      <w:r w:rsidR="00BC3EC4" w:rsidRPr="00FE34C7">
        <w:rPr>
          <w:lang w:val="fr-CA"/>
        </w:rPr>
        <w:t xml:space="preserve">sur l’achat de </w:t>
      </w:r>
      <w:r w:rsidRPr="00FE34C7">
        <w:rPr>
          <w:lang w:val="fr-CA"/>
        </w:rPr>
        <w:t xml:space="preserve">véhicules à émission zéro, </w:t>
      </w:r>
      <w:r w:rsidR="00FE34C7" w:rsidRPr="00FE34C7">
        <w:rPr>
          <w:lang w:val="fr-CA"/>
        </w:rPr>
        <w:t xml:space="preserve">parallèlement au futur déploiement </w:t>
      </w:r>
      <w:r w:rsidR="000649E5" w:rsidRPr="00FE34C7">
        <w:rPr>
          <w:lang w:val="fr-CA"/>
        </w:rPr>
        <w:t>de véhicules de passagers de fabrication canadienne</w:t>
      </w:r>
      <w:r w:rsidR="00FE34C7" w:rsidRPr="00FE34C7">
        <w:rPr>
          <w:lang w:val="fr-CA"/>
        </w:rPr>
        <w:t xml:space="preserve"> </w:t>
      </w:r>
      <w:r w:rsidR="00FE34C7" w:rsidRPr="00FE34C7">
        <w:rPr>
          <w:lang w:val="fr-CA"/>
        </w:rPr>
        <w:t>entièrement électriques</w:t>
      </w:r>
      <w:r w:rsidR="000649E5" w:rsidRPr="00FE34C7">
        <w:rPr>
          <w:lang w:val="fr-CA"/>
        </w:rPr>
        <w:t>.</w:t>
      </w:r>
    </w:p>
    <w:p w14:paraId="14F0A6ED" w14:textId="29AC4BBB" w:rsidR="00722167" w:rsidRPr="00FE34C7" w:rsidRDefault="00722167" w:rsidP="001E1F26">
      <w:pPr>
        <w:numPr>
          <w:ilvl w:val="0"/>
          <w:numId w:val="16"/>
        </w:numPr>
        <w:spacing w:before="240" w:beforeAutospacing="0" w:after="240" w:afterAutospacing="0"/>
        <w:rPr>
          <w:lang w:val="fr-CA"/>
        </w:rPr>
      </w:pPr>
      <w:r w:rsidRPr="00FE34C7">
        <w:rPr>
          <w:lang w:val="fr-CA"/>
        </w:rPr>
        <w:t>Fournir un soutien ciblé afin d’</w:t>
      </w:r>
      <w:r w:rsidR="00BE1F0A" w:rsidRPr="00FE34C7">
        <w:rPr>
          <w:lang w:val="fr-CA"/>
        </w:rPr>
        <w:t xml:space="preserve">identifier les fournisseurs de pièces d’automobiles en péril, leur permettant de réorganiser </w:t>
      </w:r>
      <w:r w:rsidR="001F5E4C" w:rsidRPr="00FE34C7">
        <w:rPr>
          <w:lang w:val="fr-CA"/>
        </w:rPr>
        <w:t xml:space="preserve">leurs activités et de recycler les travailleuses et travailleurs </w:t>
      </w:r>
      <w:r w:rsidR="00134CEA" w:rsidRPr="00FE34C7">
        <w:rPr>
          <w:lang w:val="fr-CA"/>
        </w:rPr>
        <w:t xml:space="preserve">pour </w:t>
      </w:r>
      <w:r w:rsidR="007A798D" w:rsidRPr="00FE34C7">
        <w:rPr>
          <w:lang w:val="fr-CA"/>
        </w:rPr>
        <w:t>contribuer à la chaîne d’approvisionnement croissante de véhicules à émission zéro.</w:t>
      </w:r>
    </w:p>
    <w:p w14:paraId="25D1AF61" w14:textId="3A8309EF" w:rsidR="00E61E44" w:rsidRPr="00FE34C7" w:rsidRDefault="0072288F" w:rsidP="001E1F26">
      <w:pPr>
        <w:numPr>
          <w:ilvl w:val="0"/>
          <w:numId w:val="16"/>
        </w:numPr>
        <w:spacing w:before="240" w:beforeAutospacing="0" w:after="240" w:afterAutospacing="0"/>
        <w:rPr>
          <w:lang w:val="fr-CA"/>
        </w:rPr>
      </w:pPr>
      <w:r w:rsidRPr="00FE34C7">
        <w:rPr>
          <w:lang w:val="fr-CA"/>
        </w:rPr>
        <w:lastRenderedPageBreak/>
        <w:t xml:space="preserve">Collaborer avec le gouvernement fédéral à la mise en place </w:t>
      </w:r>
      <w:r w:rsidR="005F481F" w:rsidRPr="00FE34C7">
        <w:rPr>
          <w:lang w:val="fr-CA"/>
        </w:rPr>
        <w:t xml:space="preserve">de mesures de soutien à la transition vers un nouvel emploi pour les travailleuses et travailleurs affectés par </w:t>
      </w:r>
      <w:r w:rsidR="0022374A" w:rsidRPr="00FE34C7">
        <w:rPr>
          <w:lang w:val="fr-CA"/>
        </w:rPr>
        <w:t>la suppression d’emplois découlant d’une transition vers les véhicules à émission zéro.</w:t>
      </w:r>
      <w:r w:rsidR="001053A5" w:rsidRPr="00FE34C7">
        <w:rPr>
          <w:lang w:val="fr-CA"/>
        </w:rPr>
        <w:t xml:space="preserve"> Ces mesures </w:t>
      </w:r>
      <w:r w:rsidR="003B58F2" w:rsidRPr="00FE34C7">
        <w:rPr>
          <w:lang w:val="fr-CA"/>
        </w:rPr>
        <w:t xml:space="preserve">comprendraient le maintien d’un revenu adapté, la préparation au marché du travail et le perfectionnement des compétences (y compris par le biais d’ententes du Programme d’adaptation de la main-d’œuvre), </w:t>
      </w:r>
      <w:r w:rsidR="00AD5CAA" w:rsidRPr="00FE34C7">
        <w:rPr>
          <w:lang w:val="fr-CA"/>
        </w:rPr>
        <w:t xml:space="preserve">l’aide à la réinstallation, </w:t>
      </w:r>
      <w:r w:rsidR="00F76766" w:rsidRPr="00FE34C7">
        <w:rPr>
          <w:lang w:val="fr-CA"/>
        </w:rPr>
        <w:t>des mesures de transition vers une retraite anticipée et d’autres mesures de soutien nécessaires à une adaptation réussie au marché du travail.</w:t>
      </w:r>
    </w:p>
    <w:p w14:paraId="561FB996" w14:textId="47513006" w:rsidR="00AB3E85" w:rsidRPr="00FE34C7" w:rsidRDefault="00AB3E85" w:rsidP="001E1F26">
      <w:pPr>
        <w:pStyle w:val="Titre1"/>
        <w:rPr>
          <w:lang w:val="fr-CA"/>
        </w:rPr>
      </w:pPr>
      <w:r w:rsidRPr="00FE34C7">
        <w:rPr>
          <w:lang w:val="fr-CA"/>
        </w:rPr>
        <w:t>Atténuer la pénurie de chauffeuses et chauffeurs d’autobus scolaires</w:t>
      </w:r>
    </w:p>
    <w:p w14:paraId="3C811814" w14:textId="7641BA85" w:rsidR="007C4089" w:rsidRPr="00FE34C7" w:rsidRDefault="007C4089" w:rsidP="001E1F26">
      <w:pPr>
        <w:pStyle w:val="Paragraphedeliste"/>
        <w:numPr>
          <w:ilvl w:val="0"/>
          <w:numId w:val="17"/>
        </w:numPr>
        <w:spacing w:before="240" w:after="240"/>
        <w:contextualSpacing/>
        <w:rPr>
          <w:lang w:val="fr-CA"/>
        </w:rPr>
      </w:pPr>
      <w:r w:rsidRPr="00FE34C7">
        <w:rPr>
          <w:lang w:val="fr-CA"/>
        </w:rPr>
        <w:t xml:space="preserve">Allouer un financement gouvernemental permanent supplémentaire pour favoriser l’embauche et le maintien en poste de chauffeuses et chauffeurs d’autobus scolaires, augmenter le nombre d’autobus et d’itinéraires, et accroître les ressources comme l’embauche de surveillants adultes à bord des autobus pour aider les chauffeuses et chauffeurs qui transportent de jeunes enfants ou </w:t>
      </w:r>
      <w:r w:rsidR="008A1395" w:rsidRPr="00FE34C7">
        <w:rPr>
          <w:lang w:val="fr-CA"/>
        </w:rPr>
        <w:t xml:space="preserve">des </w:t>
      </w:r>
      <w:r w:rsidRPr="00FE34C7">
        <w:rPr>
          <w:lang w:val="fr-CA"/>
        </w:rPr>
        <w:t>élèves ayant des besoins spéciaux.</w:t>
      </w:r>
    </w:p>
    <w:p w14:paraId="4838D8DF" w14:textId="60704EDD" w:rsidR="001E1F26" w:rsidRPr="00FE34C7" w:rsidRDefault="003246A4" w:rsidP="001E1F26">
      <w:pPr>
        <w:pStyle w:val="Titre1"/>
        <w:rPr>
          <w:lang w:val="fr-CA"/>
        </w:rPr>
      </w:pPr>
      <w:r w:rsidRPr="00FE34C7">
        <w:rPr>
          <w:lang w:val="fr-CA"/>
        </w:rPr>
        <w:t xml:space="preserve">Bonifier les </w:t>
      </w:r>
      <w:r w:rsidR="009325AF" w:rsidRPr="00FE34C7">
        <w:rPr>
          <w:lang w:val="fr-CA"/>
        </w:rPr>
        <w:t>prestations</w:t>
      </w:r>
      <w:r w:rsidRPr="00FE34C7">
        <w:rPr>
          <w:lang w:val="fr-CA"/>
        </w:rPr>
        <w:t xml:space="preserve"> de</w:t>
      </w:r>
      <w:r w:rsidR="00C91C61" w:rsidRPr="00FE34C7">
        <w:rPr>
          <w:lang w:val="fr-CA"/>
        </w:rPr>
        <w:t xml:space="preserve"> la Commission des accidents du travail</w:t>
      </w:r>
    </w:p>
    <w:p w14:paraId="2B3709EE" w14:textId="0530BEE5" w:rsidR="001260B1" w:rsidRPr="00FE34C7" w:rsidRDefault="001260B1" w:rsidP="00E962AF">
      <w:pPr>
        <w:pStyle w:val="Paragraphedeliste"/>
        <w:numPr>
          <w:ilvl w:val="0"/>
          <w:numId w:val="17"/>
        </w:numPr>
        <w:spacing w:before="240" w:after="240"/>
        <w:contextualSpacing/>
        <w:rPr>
          <w:lang w:val="fr-CA"/>
        </w:rPr>
      </w:pPr>
      <w:r w:rsidRPr="00FE34C7">
        <w:rPr>
          <w:lang w:val="fr-CA"/>
        </w:rPr>
        <w:t xml:space="preserve">Abroger le changement </w:t>
      </w:r>
      <w:r w:rsidR="00E962AF" w:rsidRPr="00FE34C7">
        <w:rPr>
          <w:lang w:val="fr-CA"/>
        </w:rPr>
        <w:t xml:space="preserve">touchant la Commission des accidents du travail </w:t>
      </w:r>
      <w:r w:rsidR="00A314BA" w:rsidRPr="00FE34C7">
        <w:rPr>
          <w:lang w:val="fr-CA"/>
        </w:rPr>
        <w:t>qui permet à la Commission d</w:t>
      </w:r>
      <w:r w:rsidR="000E6F74" w:rsidRPr="00FE34C7">
        <w:rPr>
          <w:lang w:val="fr-CA"/>
        </w:rPr>
        <w:t>e rendre</w:t>
      </w:r>
      <w:r w:rsidR="00C91C61" w:rsidRPr="00FE34C7">
        <w:rPr>
          <w:lang w:val="fr-CA"/>
        </w:rPr>
        <w:t xml:space="preserve"> les primes aux employeurs.</w:t>
      </w:r>
      <w:r w:rsidR="001E1F26" w:rsidRPr="00FE34C7">
        <w:rPr>
          <w:lang w:val="fr-CA"/>
        </w:rPr>
        <w:t xml:space="preserve"> </w:t>
      </w:r>
      <w:r w:rsidRPr="00FE34C7">
        <w:rPr>
          <w:lang w:val="fr-CA"/>
        </w:rPr>
        <w:t>Le gouvernement doit entreprendre des consultations exhaustives avec toutes les parties concernées au sujet de l’ensemble du système d’indemnisation des travailleuses et travailleurs, y compris</w:t>
      </w:r>
      <w:r w:rsidR="005653E7" w:rsidRPr="00FE34C7">
        <w:rPr>
          <w:lang w:val="fr-CA"/>
        </w:rPr>
        <w:t xml:space="preserve"> les niveaux de prestations et </w:t>
      </w:r>
      <w:r w:rsidR="001114E1" w:rsidRPr="00FE34C7">
        <w:rPr>
          <w:lang w:val="fr-CA"/>
        </w:rPr>
        <w:t>le traitement d</w:t>
      </w:r>
      <w:r w:rsidR="005653E7" w:rsidRPr="00FE34C7">
        <w:rPr>
          <w:lang w:val="fr-CA"/>
        </w:rPr>
        <w:t>es demandes. Les recommandations visant à améliorer le système incluent les suivantes :</w:t>
      </w:r>
    </w:p>
    <w:p w14:paraId="16449118" w14:textId="3FD3C65A" w:rsidR="005653E7" w:rsidRPr="00FE34C7" w:rsidRDefault="005653E7" w:rsidP="00233B6E">
      <w:pPr>
        <w:pStyle w:val="Paragraphedeliste"/>
        <w:numPr>
          <w:ilvl w:val="1"/>
          <w:numId w:val="17"/>
        </w:numPr>
        <w:spacing w:after="0"/>
        <w:rPr>
          <w:lang w:val="fr-CA"/>
        </w:rPr>
      </w:pPr>
      <w:r w:rsidRPr="00FE34C7">
        <w:rPr>
          <w:lang w:val="fr-CA"/>
        </w:rPr>
        <w:t>accroître l</w:t>
      </w:r>
      <w:r w:rsidR="00B14273" w:rsidRPr="00FE34C7">
        <w:rPr>
          <w:lang w:val="fr-CA"/>
        </w:rPr>
        <w:t>’allocation pour perte de revenus à 90 % et rétablir la réduction de 5 %;</w:t>
      </w:r>
    </w:p>
    <w:p w14:paraId="3A6D31A7" w14:textId="5AA0D09D" w:rsidR="00E67D17" w:rsidRPr="00FE34C7" w:rsidRDefault="00E67D17" w:rsidP="00233B6E">
      <w:pPr>
        <w:pStyle w:val="Paragraphedeliste"/>
        <w:numPr>
          <w:ilvl w:val="1"/>
          <w:numId w:val="17"/>
        </w:numPr>
        <w:spacing w:after="0"/>
        <w:rPr>
          <w:lang w:val="fr-CA"/>
        </w:rPr>
      </w:pPr>
      <w:r w:rsidRPr="00FE34C7">
        <w:rPr>
          <w:lang w:val="fr-CA"/>
        </w:rPr>
        <w:t xml:space="preserve">harmoniser le taux d’inflation appliqué </w:t>
      </w:r>
      <w:r w:rsidR="00887740" w:rsidRPr="00FE34C7">
        <w:rPr>
          <w:lang w:val="fr-CA"/>
        </w:rPr>
        <w:t>à la perte de revenus des travailleuses et travailleurs blessés avec le taux d’augmentation de l’indice des prix à la consommation;</w:t>
      </w:r>
    </w:p>
    <w:p w14:paraId="666FF239" w14:textId="6E5FCEB9" w:rsidR="00887740" w:rsidRPr="00FE34C7" w:rsidRDefault="00887740" w:rsidP="00233B6E">
      <w:pPr>
        <w:pStyle w:val="Paragraphedeliste"/>
        <w:numPr>
          <w:ilvl w:val="1"/>
          <w:numId w:val="17"/>
        </w:numPr>
        <w:spacing w:after="0"/>
        <w:rPr>
          <w:lang w:val="fr-CA"/>
        </w:rPr>
      </w:pPr>
      <w:r w:rsidRPr="00FE34C7">
        <w:rPr>
          <w:lang w:val="fr-CA"/>
        </w:rPr>
        <w:t>rétablir le ratio de</w:t>
      </w:r>
      <w:r w:rsidR="008D18F0" w:rsidRPr="00FE34C7">
        <w:rPr>
          <w:lang w:val="fr-CA"/>
        </w:rPr>
        <w:t xml:space="preserve">s indemnités pour perte de revenu de retraite </w:t>
      </w:r>
      <w:r w:rsidR="00D209F1" w:rsidRPr="00FE34C7">
        <w:rPr>
          <w:lang w:val="fr-CA"/>
        </w:rPr>
        <w:t>à une cotisation de 105 %;</w:t>
      </w:r>
    </w:p>
    <w:p w14:paraId="4ACD9316" w14:textId="28185A8E" w:rsidR="00D209F1" w:rsidRPr="00FE34C7" w:rsidRDefault="00D209F1" w:rsidP="00233B6E">
      <w:pPr>
        <w:pStyle w:val="Paragraphedeliste"/>
        <w:numPr>
          <w:ilvl w:val="1"/>
          <w:numId w:val="17"/>
        </w:numPr>
        <w:spacing w:after="0"/>
        <w:ind w:left="1434" w:hanging="357"/>
        <w:rPr>
          <w:lang w:val="fr-CA"/>
        </w:rPr>
      </w:pPr>
      <w:r w:rsidRPr="00FE34C7">
        <w:rPr>
          <w:lang w:val="fr-CA"/>
        </w:rPr>
        <w:t>offrir une meilleure couverture pour les blessures psychologiques et les maladies professionnelles.</w:t>
      </w:r>
    </w:p>
    <w:p w14:paraId="082A3436" w14:textId="0823AD53" w:rsidR="001E1F26" w:rsidRPr="00FE34C7" w:rsidRDefault="00DD21A9" w:rsidP="0095416C">
      <w:pPr>
        <w:pStyle w:val="Paragraphedeliste"/>
        <w:numPr>
          <w:ilvl w:val="0"/>
          <w:numId w:val="17"/>
        </w:numPr>
        <w:spacing w:before="240" w:after="240"/>
        <w:rPr>
          <w:lang w:val="fr-CA"/>
        </w:rPr>
      </w:pPr>
      <w:r w:rsidRPr="00FE34C7">
        <w:rPr>
          <w:lang w:val="fr-CA"/>
        </w:rPr>
        <w:t>Offrir</w:t>
      </w:r>
      <w:r w:rsidR="0095416C" w:rsidRPr="00FE34C7">
        <w:rPr>
          <w:lang w:val="fr-CA"/>
        </w:rPr>
        <w:t xml:space="preserve"> des versements supplémentaires aux familles de travailleuses et travailleurs qui </w:t>
      </w:r>
      <w:r w:rsidR="0036793B" w:rsidRPr="00FE34C7">
        <w:rPr>
          <w:lang w:val="fr-CA"/>
        </w:rPr>
        <w:t xml:space="preserve">décèdent </w:t>
      </w:r>
      <w:r w:rsidR="0095416C" w:rsidRPr="00FE34C7">
        <w:rPr>
          <w:lang w:val="fr-CA"/>
        </w:rPr>
        <w:t>au travail.</w:t>
      </w:r>
      <w:r w:rsidR="001E1F26" w:rsidRPr="00FE34C7">
        <w:rPr>
          <w:lang w:val="fr-CA"/>
        </w:rPr>
        <w:t xml:space="preserve"> </w:t>
      </w:r>
    </w:p>
    <w:p w14:paraId="31861B11" w14:textId="3A2C44DF" w:rsidR="00C32C2B" w:rsidRPr="00FE34C7" w:rsidRDefault="00C32C2B" w:rsidP="001E1F26">
      <w:pPr>
        <w:pStyle w:val="Paragraphedeliste"/>
        <w:numPr>
          <w:ilvl w:val="0"/>
          <w:numId w:val="17"/>
        </w:numPr>
        <w:spacing w:before="240" w:after="240"/>
        <w:rPr>
          <w:lang w:val="fr-CA"/>
        </w:rPr>
      </w:pPr>
      <w:r w:rsidRPr="00FE34C7">
        <w:rPr>
          <w:lang w:val="fr-CA"/>
        </w:rPr>
        <w:t xml:space="preserve">Offrir du financement pour rétablir l’accès au </w:t>
      </w:r>
      <w:r w:rsidR="006E0DC2" w:rsidRPr="00FE34C7">
        <w:rPr>
          <w:lang w:val="fr-CA"/>
        </w:rPr>
        <w:t>B</w:t>
      </w:r>
      <w:r w:rsidR="006E05FA" w:rsidRPr="00FE34C7">
        <w:rPr>
          <w:lang w:val="fr-CA"/>
        </w:rPr>
        <w:t xml:space="preserve">ureau </w:t>
      </w:r>
      <w:r w:rsidR="006E0DC2" w:rsidRPr="00FE34C7">
        <w:rPr>
          <w:lang w:val="fr-CA"/>
        </w:rPr>
        <w:t>des</w:t>
      </w:r>
      <w:r w:rsidR="009E10C3" w:rsidRPr="00FE34C7">
        <w:rPr>
          <w:lang w:val="fr-CA"/>
        </w:rPr>
        <w:t xml:space="preserve"> conseiller</w:t>
      </w:r>
      <w:r w:rsidR="006E0DC2" w:rsidRPr="00FE34C7">
        <w:rPr>
          <w:lang w:val="fr-CA"/>
        </w:rPr>
        <w:t>s des travailleurs</w:t>
      </w:r>
      <w:r w:rsidR="00C75885" w:rsidRPr="00FE34C7">
        <w:rPr>
          <w:lang w:val="fr-CA"/>
        </w:rPr>
        <w:t xml:space="preserve"> </w:t>
      </w:r>
      <w:r w:rsidR="00AF79EB" w:rsidRPr="00FE34C7">
        <w:rPr>
          <w:lang w:val="fr-CA"/>
        </w:rPr>
        <w:t xml:space="preserve">afin que </w:t>
      </w:r>
      <w:r w:rsidR="00C75885" w:rsidRPr="00FE34C7">
        <w:rPr>
          <w:lang w:val="fr-CA"/>
        </w:rPr>
        <w:t xml:space="preserve">les travailleuses et travailleurs syndiqués </w:t>
      </w:r>
      <w:r w:rsidR="00AF79EB" w:rsidRPr="00FE34C7">
        <w:rPr>
          <w:lang w:val="fr-CA"/>
        </w:rPr>
        <w:t>blessés reçoivent du soutien exempt de discrimination.</w:t>
      </w:r>
    </w:p>
    <w:p w14:paraId="62B1DB22" w14:textId="69FEE802" w:rsidR="001E1F26" w:rsidRPr="00FE34C7" w:rsidRDefault="007A666A" w:rsidP="00BB7550">
      <w:pPr>
        <w:pStyle w:val="Paragraphedeliste"/>
        <w:numPr>
          <w:ilvl w:val="0"/>
          <w:numId w:val="17"/>
        </w:numPr>
        <w:spacing w:before="240" w:after="240"/>
        <w:rPr>
          <w:lang w:val="fr-CA"/>
        </w:rPr>
      </w:pPr>
      <w:r w:rsidRPr="00FE34C7">
        <w:rPr>
          <w:lang w:val="fr-CA"/>
        </w:rPr>
        <w:t>Inclure l</w:t>
      </w:r>
      <w:r w:rsidR="00033AEB" w:rsidRPr="00FE34C7">
        <w:rPr>
          <w:lang w:val="fr-CA"/>
        </w:rPr>
        <w:t xml:space="preserve">es maisons de retraite </w:t>
      </w:r>
      <w:r w:rsidR="001C224E" w:rsidRPr="00FE34C7">
        <w:rPr>
          <w:lang w:val="fr-CA"/>
        </w:rPr>
        <w:t xml:space="preserve">comme employeurs </w:t>
      </w:r>
      <w:r w:rsidRPr="00FE34C7">
        <w:rPr>
          <w:lang w:val="fr-CA"/>
        </w:rPr>
        <w:t xml:space="preserve">à </w:t>
      </w:r>
      <w:r w:rsidR="00033AEB" w:rsidRPr="00FE34C7">
        <w:rPr>
          <w:lang w:val="fr-CA"/>
        </w:rPr>
        <w:t xml:space="preserve">l’annexe </w:t>
      </w:r>
      <w:r w:rsidR="00B173D9" w:rsidRPr="00FE34C7">
        <w:rPr>
          <w:lang w:val="fr-CA"/>
        </w:rPr>
        <w:t xml:space="preserve">1 </w:t>
      </w:r>
      <w:r w:rsidR="00BB7550" w:rsidRPr="00FE34C7">
        <w:rPr>
          <w:lang w:val="fr-CA"/>
        </w:rPr>
        <w:t xml:space="preserve">de la </w:t>
      </w:r>
      <w:r w:rsidR="00BB7550" w:rsidRPr="00FE34C7">
        <w:rPr>
          <w:i/>
          <w:iCs/>
          <w:lang w:val="fr-CA"/>
        </w:rPr>
        <w:t>Loi sur les accidents du travail et les maladies professionnelles</w:t>
      </w:r>
      <w:r w:rsidR="00BB7550" w:rsidRPr="00FE34C7">
        <w:rPr>
          <w:lang w:val="fr-CA"/>
        </w:rPr>
        <w:t xml:space="preserve"> </w:t>
      </w:r>
      <w:r w:rsidR="00B173D9" w:rsidRPr="00FE34C7">
        <w:rPr>
          <w:lang w:val="fr-CA"/>
        </w:rPr>
        <w:t>aux fins de la Commission des accidents du travail afin que les travailleuses et travailleurs des maisons de retraite soient protégés en cas de blessure.</w:t>
      </w:r>
      <w:r w:rsidR="001E1F26" w:rsidRPr="00FE34C7">
        <w:rPr>
          <w:lang w:val="fr-CA"/>
        </w:rPr>
        <w:t xml:space="preserve"> </w:t>
      </w:r>
    </w:p>
    <w:p w14:paraId="5C309BDD" w14:textId="031B9309" w:rsidR="001E1F26" w:rsidRPr="00FE34C7" w:rsidRDefault="00B836E7" w:rsidP="001E1F26">
      <w:pPr>
        <w:pStyle w:val="Titre1"/>
        <w:rPr>
          <w:lang w:val="fr-CA"/>
        </w:rPr>
      </w:pPr>
      <w:r w:rsidRPr="00FE34C7">
        <w:rPr>
          <w:lang w:val="fr-CA"/>
        </w:rPr>
        <w:lastRenderedPageBreak/>
        <w:t>Lutte contre le racisme</w:t>
      </w:r>
    </w:p>
    <w:p w14:paraId="5639ECF1" w14:textId="5AF4D0DE" w:rsidR="00BB4980" w:rsidRPr="00FE34C7" w:rsidRDefault="00BB4980" w:rsidP="001E1F26">
      <w:pPr>
        <w:pStyle w:val="Paragraphedeliste"/>
        <w:rPr>
          <w:lang w:val="fr-CA"/>
        </w:rPr>
      </w:pPr>
      <w:r w:rsidRPr="00FE34C7">
        <w:rPr>
          <w:lang w:val="fr-CA"/>
        </w:rPr>
        <w:t xml:space="preserve">Offrir un financement accru pour l’élaboration de programmes et d’initiatives communautaires de lutte contre le racisme et l’islamophobie dans la province, et fournir des ressources supplémentaires pour appuyer le travail de </w:t>
      </w:r>
      <w:r w:rsidR="00DD3BA1" w:rsidRPr="00FE34C7">
        <w:rPr>
          <w:lang w:val="fr-CA"/>
        </w:rPr>
        <w:t>la Direction générale de l’action contre le racisme de l’Ontario, qui cherche à mettre en œuvre un plan stratégique renouvelé de lutte contre le racisme.</w:t>
      </w:r>
    </w:p>
    <w:p w14:paraId="367C5210" w14:textId="635CD689" w:rsidR="003F0213" w:rsidRPr="00FE34C7" w:rsidRDefault="004C1C9D" w:rsidP="00022263">
      <w:pPr>
        <w:pStyle w:val="Paragraphedeliste"/>
        <w:rPr>
          <w:lang w:val="fr-CA"/>
        </w:rPr>
      </w:pPr>
      <w:r w:rsidRPr="00FE34C7">
        <w:rPr>
          <w:lang w:val="fr-CA"/>
        </w:rPr>
        <w:t xml:space="preserve">Former un groupe de travail provincial, composé de parties politiques, syndicales, académiques et communautaires clés, afin d’élaborer et de mettre au point un plan pour </w:t>
      </w:r>
      <w:r w:rsidR="002401A7" w:rsidRPr="00FE34C7">
        <w:rPr>
          <w:lang w:val="fr-CA"/>
        </w:rPr>
        <w:t>freiner l</w:t>
      </w:r>
      <w:r w:rsidR="00644981" w:rsidRPr="00FE34C7">
        <w:rPr>
          <w:lang w:val="fr-CA"/>
        </w:rPr>
        <w:t xml:space="preserve">a hausse </w:t>
      </w:r>
      <w:r w:rsidR="002401A7" w:rsidRPr="00FE34C7">
        <w:rPr>
          <w:lang w:val="fr-CA"/>
        </w:rPr>
        <w:t>de</w:t>
      </w:r>
      <w:r w:rsidR="00644981" w:rsidRPr="00FE34C7">
        <w:rPr>
          <w:lang w:val="fr-CA"/>
        </w:rPr>
        <w:t>s</w:t>
      </w:r>
      <w:r w:rsidR="002401A7" w:rsidRPr="00FE34C7">
        <w:rPr>
          <w:lang w:val="fr-CA"/>
        </w:rPr>
        <w:t xml:space="preserve"> crimes haineux</w:t>
      </w:r>
      <w:r w:rsidR="00DD7515" w:rsidRPr="00FE34C7">
        <w:rPr>
          <w:lang w:val="fr-CA"/>
        </w:rPr>
        <w:t xml:space="preserve"> commis </w:t>
      </w:r>
      <w:r w:rsidR="002401A7" w:rsidRPr="00FE34C7">
        <w:rPr>
          <w:lang w:val="fr-CA"/>
        </w:rPr>
        <w:t xml:space="preserve">contre les personnes noires, autochtones et de couleur en Ontario, notamment </w:t>
      </w:r>
      <w:r w:rsidR="0012151F" w:rsidRPr="00FE34C7">
        <w:rPr>
          <w:lang w:val="fr-CA"/>
        </w:rPr>
        <w:t xml:space="preserve">l’islamophobie et l’antisémitisme, </w:t>
      </w:r>
      <w:r w:rsidRPr="00FE34C7">
        <w:rPr>
          <w:lang w:val="fr-CA"/>
        </w:rPr>
        <w:t>et lui fournir les ressources nécessaires</w:t>
      </w:r>
      <w:r w:rsidR="0012151F" w:rsidRPr="00FE34C7">
        <w:rPr>
          <w:lang w:val="fr-CA"/>
        </w:rPr>
        <w:t>.</w:t>
      </w:r>
    </w:p>
    <w:p w14:paraId="659091BD" w14:textId="77777777" w:rsidR="00626682" w:rsidRPr="00FE34C7" w:rsidRDefault="00626682" w:rsidP="00626682">
      <w:pPr>
        <w:rPr>
          <w:lang w:val="fr-CA"/>
        </w:rPr>
      </w:pPr>
    </w:p>
    <w:p w14:paraId="7633FE10" w14:textId="1081C974" w:rsidR="0030082A" w:rsidRPr="00FE34C7" w:rsidRDefault="001E1F26" w:rsidP="0030082A">
      <w:pPr>
        <w:rPr>
          <w:sz w:val="20"/>
          <w:lang w:val="fr-CA"/>
        </w:rPr>
      </w:pPr>
      <w:r w:rsidRPr="00FE34C7">
        <w:rPr>
          <w:sz w:val="20"/>
          <w:lang w:val="fr-CA"/>
        </w:rPr>
        <w:t>KT/kl</w:t>
      </w:r>
      <w:r w:rsidR="00B836E7" w:rsidRPr="00FE34C7">
        <w:rPr>
          <w:sz w:val="20"/>
          <w:lang w:val="fr-CA"/>
        </w:rPr>
        <w:t>sepb</w:t>
      </w:r>
      <w:r w:rsidRPr="00FE34C7">
        <w:rPr>
          <w:sz w:val="20"/>
          <w:lang w:val="fr-CA"/>
        </w:rPr>
        <w:t>343</w:t>
      </w:r>
    </w:p>
    <w:p w14:paraId="43A69610" w14:textId="77777777" w:rsidR="00504340" w:rsidRPr="00FE34C7" w:rsidRDefault="00504340" w:rsidP="0030082A">
      <w:pPr>
        <w:rPr>
          <w:lang w:val="fr-CA"/>
        </w:rPr>
      </w:pPr>
    </w:p>
    <w:sectPr w:rsidR="00504340" w:rsidRPr="00FE34C7" w:rsidSect="003E01EF">
      <w:footerReference w:type="even" r:id="rId8"/>
      <w:footerReference w:type="default" r:id="rId9"/>
      <w:footerReference w:type="first" r:id="rId10"/>
      <w:pgSz w:w="12240" w:h="15840"/>
      <w:pgMar w:top="993" w:right="1440" w:bottom="851"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A56CD" w14:textId="77777777" w:rsidR="00B8239D" w:rsidRDefault="00B8239D" w:rsidP="00EA03C3">
      <w:r>
        <w:separator/>
      </w:r>
    </w:p>
    <w:p w14:paraId="27E0C885" w14:textId="77777777" w:rsidR="00B8239D" w:rsidRDefault="00B8239D" w:rsidP="00EA03C3"/>
  </w:endnote>
  <w:endnote w:type="continuationSeparator" w:id="0">
    <w:p w14:paraId="4E38270F" w14:textId="77777777" w:rsidR="00B8239D" w:rsidRDefault="00B8239D" w:rsidP="00EA03C3">
      <w:r>
        <w:continuationSeparator/>
      </w:r>
    </w:p>
    <w:p w14:paraId="5B3F3826" w14:textId="77777777" w:rsidR="00B8239D" w:rsidRDefault="00B8239D" w:rsidP="00EA0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Whitney-Bold">
    <w:altName w:val="Calibri"/>
    <w:panose1 w:val="00000000000000000000"/>
    <w:charset w:val="00"/>
    <w:family w:val="auto"/>
    <w:notTrueType/>
    <w:pitch w:val="variable"/>
    <w:sig w:usb0="00000003" w:usb1="00000000" w:usb2="00000000" w:usb3="00000000" w:csb0="00000001" w:csb1="00000000"/>
  </w:font>
  <w:font w:name="Whitney-Medium">
    <w:altName w:val="Calibri"/>
    <w:charset w:val="00"/>
    <w:family w:val="auto"/>
    <w:pitch w:val="variable"/>
    <w:sig w:usb0="800000AF" w:usb1="50002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CAB0" w14:textId="2A1475BA" w:rsidR="00B8239D" w:rsidRDefault="00B8239D" w:rsidP="00EA03C3">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sidR="00B836E7">
      <w:rPr>
        <w:rStyle w:val="Numrodepage"/>
        <w:noProof/>
      </w:rPr>
      <w:t>2</w:t>
    </w:r>
    <w:r>
      <w:rPr>
        <w:rStyle w:val="Numrodepage"/>
      </w:rPr>
      <w:fldChar w:fldCharType="end"/>
    </w:r>
  </w:p>
  <w:p w14:paraId="3676A033" w14:textId="77777777" w:rsidR="00B8239D" w:rsidRDefault="00B8239D" w:rsidP="00EA03C3">
    <w:pPr>
      <w:pStyle w:val="Pieddepage"/>
    </w:pPr>
  </w:p>
  <w:p w14:paraId="7FEC8B55" w14:textId="77777777" w:rsidR="00B8239D" w:rsidRDefault="00B8239D" w:rsidP="00EA03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3A74" w14:textId="514C7C88" w:rsidR="00B8239D" w:rsidRPr="00B836E7" w:rsidRDefault="00B8239D" w:rsidP="001E1F26">
    <w:pPr>
      <w:pStyle w:val="Pieddepage"/>
      <w:tabs>
        <w:tab w:val="left" w:pos="567"/>
      </w:tabs>
      <w:ind w:left="564" w:hanging="564"/>
      <w:rPr>
        <w:sz w:val="22"/>
        <w:szCs w:val="22"/>
        <w:lang w:val="fr-CA"/>
      </w:rPr>
    </w:pPr>
    <w:r w:rsidRPr="00B836E7">
      <w:rPr>
        <w:rStyle w:val="Numrodepage"/>
        <w:rFonts w:ascii="Arial" w:hAnsi="Arial"/>
        <w:b/>
        <w:color w:val="005EB8"/>
        <w:sz w:val="22"/>
        <w:szCs w:val="22"/>
        <w:lang w:val="fr-CA"/>
      </w:rPr>
      <w:fldChar w:fldCharType="begin"/>
    </w:r>
    <w:r w:rsidRPr="00B836E7">
      <w:rPr>
        <w:rStyle w:val="Numrodepage"/>
        <w:rFonts w:ascii="Arial" w:hAnsi="Arial"/>
        <w:b/>
        <w:color w:val="005EB8"/>
        <w:sz w:val="22"/>
        <w:szCs w:val="22"/>
        <w:lang w:val="fr-CA"/>
      </w:rPr>
      <w:instrText xml:space="preserve">PAGE  </w:instrText>
    </w:r>
    <w:r w:rsidRPr="00B836E7">
      <w:rPr>
        <w:rStyle w:val="Numrodepage"/>
        <w:rFonts w:ascii="Arial" w:hAnsi="Arial"/>
        <w:b/>
        <w:color w:val="005EB8"/>
        <w:sz w:val="22"/>
        <w:szCs w:val="22"/>
        <w:lang w:val="fr-CA"/>
      </w:rPr>
      <w:fldChar w:fldCharType="separate"/>
    </w:r>
    <w:r w:rsidR="001E26E3" w:rsidRPr="00B836E7">
      <w:rPr>
        <w:rStyle w:val="Numrodepage"/>
        <w:rFonts w:ascii="Arial" w:hAnsi="Arial"/>
        <w:b/>
        <w:noProof/>
        <w:color w:val="005EB8"/>
        <w:sz w:val="22"/>
        <w:szCs w:val="22"/>
        <w:lang w:val="fr-CA"/>
      </w:rPr>
      <w:t>5</w:t>
    </w:r>
    <w:r w:rsidRPr="00B836E7">
      <w:rPr>
        <w:rStyle w:val="Numrodepage"/>
        <w:rFonts w:ascii="Arial" w:hAnsi="Arial"/>
        <w:b/>
        <w:color w:val="005EB8"/>
        <w:sz w:val="22"/>
        <w:szCs w:val="22"/>
        <w:lang w:val="fr-CA"/>
      </w:rPr>
      <w:fldChar w:fldCharType="end"/>
    </w:r>
    <w:r w:rsidR="00785094" w:rsidRPr="00B836E7">
      <w:rPr>
        <w:rStyle w:val="Numrodepage"/>
        <w:rFonts w:ascii="Arial" w:hAnsi="Arial"/>
        <w:b/>
        <w:color w:val="005EB8"/>
        <w:sz w:val="22"/>
        <w:szCs w:val="22"/>
        <w:lang w:val="fr-CA"/>
      </w:rPr>
      <w:t xml:space="preserve"> </w:t>
    </w:r>
    <w:r w:rsidR="00785094" w:rsidRPr="00B836E7">
      <w:rPr>
        <w:rStyle w:val="Numrodepage"/>
        <w:rFonts w:ascii="Arial" w:hAnsi="Arial"/>
        <w:b/>
        <w:color w:val="005EB8"/>
        <w:sz w:val="22"/>
        <w:szCs w:val="22"/>
        <w:lang w:val="fr-CA"/>
      </w:rPr>
      <w:tab/>
    </w:r>
    <w:r w:rsidR="00B836E7">
      <w:rPr>
        <w:rStyle w:val="Numrodepage"/>
        <w:rFonts w:ascii="Arial" w:hAnsi="Arial"/>
        <w:sz w:val="22"/>
        <w:szCs w:val="22"/>
        <w:lang w:val="fr-CA"/>
      </w:rPr>
      <w:t>Mémoire d’Unifor dans le cadre des consultations budgétaires de 2023 de l’Ontario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BBB6" w14:textId="77777777" w:rsidR="00B8239D" w:rsidRPr="006F0610" w:rsidRDefault="00B8239D" w:rsidP="008B7755">
    <w:pPr>
      <w:jc w:val="center"/>
    </w:pPr>
    <w:r>
      <w:br/>
    </w:r>
    <w:r w:rsidRPr="006F0610">
      <w:br/>
    </w:r>
    <w:r w:rsidR="008B7755">
      <w:rPr>
        <w:noProof/>
        <w:lang w:val="en-CA" w:eastAsia="en-CA"/>
      </w:rPr>
      <w:drawing>
        <wp:inline distT="0" distB="0" distL="0" distR="0" wp14:anchorId="4BFBAD0B" wp14:editId="112A5791">
          <wp:extent cx="1758093" cy="1402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FOR-bilingual-RGB Resized.png"/>
                  <pic:cNvPicPr/>
                </pic:nvPicPr>
                <pic:blipFill>
                  <a:blip r:embed="rId1">
                    <a:extLst>
                      <a:ext uri="{28A0092B-C50C-407E-A947-70E740481C1C}">
                        <a14:useLocalDpi xmlns:a14="http://schemas.microsoft.com/office/drawing/2010/main" val="0"/>
                      </a:ext>
                    </a:extLst>
                  </a:blip>
                  <a:stretch>
                    <a:fillRect/>
                  </a:stretch>
                </pic:blipFill>
                <pic:spPr>
                  <a:xfrm>
                    <a:off x="0" y="0"/>
                    <a:ext cx="1773532" cy="1414392"/>
                  </a:xfrm>
                  <a:prstGeom prst="rect">
                    <a:avLst/>
                  </a:prstGeom>
                </pic:spPr>
              </pic:pic>
            </a:graphicData>
          </a:graphic>
        </wp:inline>
      </w:drawing>
    </w:r>
  </w:p>
  <w:p w14:paraId="3C2537CB" w14:textId="77777777" w:rsidR="00B8239D" w:rsidRDefault="00B8239D" w:rsidP="00EA03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2C00C" w14:textId="77777777" w:rsidR="00B8239D" w:rsidRDefault="00B8239D" w:rsidP="00EA03C3">
      <w:r>
        <w:separator/>
      </w:r>
    </w:p>
    <w:p w14:paraId="3D9E7B41" w14:textId="77777777" w:rsidR="00B8239D" w:rsidRDefault="00B8239D" w:rsidP="00EA03C3"/>
  </w:footnote>
  <w:footnote w:type="continuationSeparator" w:id="0">
    <w:p w14:paraId="72FDAD31" w14:textId="77777777" w:rsidR="00B8239D" w:rsidRDefault="00B8239D" w:rsidP="00EA03C3">
      <w:r>
        <w:continuationSeparator/>
      </w:r>
    </w:p>
    <w:p w14:paraId="08EA1B94" w14:textId="77777777" w:rsidR="00B8239D" w:rsidRDefault="00B8239D" w:rsidP="00EA03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721"/>
    <w:multiLevelType w:val="hybridMultilevel"/>
    <w:tmpl w:val="E7B0E8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3B518A"/>
    <w:multiLevelType w:val="hybridMultilevel"/>
    <w:tmpl w:val="C3C854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AA5D00"/>
    <w:multiLevelType w:val="hybridMultilevel"/>
    <w:tmpl w:val="363299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D93229"/>
    <w:multiLevelType w:val="hybridMultilevel"/>
    <w:tmpl w:val="3D06A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BE53ED"/>
    <w:multiLevelType w:val="hybridMultilevel"/>
    <w:tmpl w:val="8D428D78"/>
    <w:lvl w:ilvl="0" w:tplc="DF5E94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5B7574"/>
    <w:multiLevelType w:val="hybridMultilevel"/>
    <w:tmpl w:val="5332220E"/>
    <w:lvl w:ilvl="0" w:tplc="91F4B856">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AB81142"/>
    <w:multiLevelType w:val="hybridMultilevel"/>
    <w:tmpl w:val="7F2C21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E73289D"/>
    <w:multiLevelType w:val="hybridMultilevel"/>
    <w:tmpl w:val="4C4692D8"/>
    <w:lvl w:ilvl="0" w:tplc="0AD6F38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E2012B3"/>
    <w:multiLevelType w:val="hybridMultilevel"/>
    <w:tmpl w:val="24E60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0D61924"/>
    <w:multiLevelType w:val="hybridMultilevel"/>
    <w:tmpl w:val="5CE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D865903"/>
    <w:multiLevelType w:val="hybridMultilevel"/>
    <w:tmpl w:val="FEFCBC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15C6D2E"/>
    <w:multiLevelType w:val="hybridMultilevel"/>
    <w:tmpl w:val="A5A082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9C771F0"/>
    <w:multiLevelType w:val="hybridMultilevel"/>
    <w:tmpl w:val="65FCFF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A5C367F"/>
    <w:multiLevelType w:val="hybridMultilevel"/>
    <w:tmpl w:val="B3425EB8"/>
    <w:styleLink w:val="Dash"/>
    <w:lvl w:ilvl="0" w:tplc="528E95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8B8C1E9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2D3A5D5E">
      <w:start w:val="1"/>
      <w:numFmt w:val="bullet"/>
      <w:lvlText w:val="-"/>
      <w:lvlJc w:val="left"/>
      <w:pPr>
        <w:tabs>
          <w:tab w:val="left" w:pos="3347"/>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5B788C8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22E02F6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593822D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1F52E4D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C2CA73F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82127F08">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14" w15:restartNumberingAfterBreak="0">
    <w:nsid w:val="626D4287"/>
    <w:multiLevelType w:val="hybridMultilevel"/>
    <w:tmpl w:val="2F5C4B4A"/>
    <w:lvl w:ilvl="0" w:tplc="D1322584">
      <w:start w:val="1"/>
      <w:numFmt w:val="bullet"/>
      <w:pStyle w:val="Paragraphedeliste"/>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481F73"/>
    <w:multiLevelType w:val="hybridMultilevel"/>
    <w:tmpl w:val="DDEA0E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7AB5A1B"/>
    <w:multiLevelType w:val="hybridMultilevel"/>
    <w:tmpl w:val="F44E0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A354924"/>
    <w:multiLevelType w:val="hybridMultilevel"/>
    <w:tmpl w:val="FC9ECF7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7C5B05B0"/>
    <w:multiLevelType w:val="hybridMultilevel"/>
    <w:tmpl w:val="DD56EC3C"/>
    <w:styleLink w:val="Bullet"/>
    <w:lvl w:ilvl="0" w:tplc="6C848FC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21787C78">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ABD221F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739E09C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6C4405F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E3724CD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B56465D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7030565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75940B1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1629584114">
    <w:abstractNumId w:val="18"/>
  </w:num>
  <w:num w:numId="2" w16cid:durableId="1521310933">
    <w:abstractNumId w:val="13"/>
  </w:num>
  <w:num w:numId="3" w16cid:durableId="2054960995">
    <w:abstractNumId w:val="3"/>
  </w:num>
  <w:num w:numId="4" w16cid:durableId="459692894">
    <w:abstractNumId w:val="10"/>
  </w:num>
  <w:num w:numId="5" w16cid:durableId="1292707548">
    <w:abstractNumId w:val="12"/>
  </w:num>
  <w:num w:numId="6" w16cid:durableId="892544808">
    <w:abstractNumId w:val="17"/>
  </w:num>
  <w:num w:numId="7" w16cid:durableId="297958863">
    <w:abstractNumId w:val="4"/>
  </w:num>
  <w:num w:numId="8" w16cid:durableId="1212618094">
    <w:abstractNumId w:val="6"/>
  </w:num>
  <w:num w:numId="9" w16cid:durableId="1768694566">
    <w:abstractNumId w:val="14"/>
  </w:num>
  <w:num w:numId="10" w16cid:durableId="670718630">
    <w:abstractNumId w:val="5"/>
  </w:num>
  <w:num w:numId="11" w16cid:durableId="1834447866">
    <w:abstractNumId w:val="9"/>
  </w:num>
  <w:num w:numId="12" w16cid:durableId="1334912100">
    <w:abstractNumId w:val="11"/>
  </w:num>
  <w:num w:numId="13" w16cid:durableId="1756316941">
    <w:abstractNumId w:val="16"/>
  </w:num>
  <w:num w:numId="14" w16cid:durableId="423965034">
    <w:abstractNumId w:val="1"/>
  </w:num>
  <w:num w:numId="15" w16cid:durableId="81538718">
    <w:abstractNumId w:val="8"/>
  </w:num>
  <w:num w:numId="16" w16cid:durableId="476344747">
    <w:abstractNumId w:val="15"/>
  </w:num>
  <w:num w:numId="17" w16cid:durableId="207298938">
    <w:abstractNumId w:val="2"/>
  </w:num>
  <w:num w:numId="18" w16cid:durableId="1827741584">
    <w:abstractNumId w:val="0"/>
  </w:num>
  <w:num w:numId="19" w16cid:durableId="19519290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s-MX" w:vendorID="64" w:dllVersion="6" w:nlCheck="1" w:checkStyle="0"/>
  <w:activeWritingStyle w:appName="MSWord" w:lang="fr-CA" w:vendorID="64" w:dllVersion="0" w:nlCheck="1" w:checkStyle="0"/>
  <w:activeWritingStyle w:appName="MSWord" w:lang="en-US" w:vendorID="64" w:dllVersion="0" w:nlCheck="1" w:checkStyle="0"/>
  <w:activeWritingStyle w:appName="MSWord" w:lang="en-CA" w:vendorID="64" w:dllVersion="0" w:nlCheck="1" w:checkStyle="0"/>
  <w:proofState w:spelling="clean" w:grammar="clean"/>
  <w:defaultTabStop w:val="720"/>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A86"/>
    <w:rsid w:val="00000AC4"/>
    <w:rsid w:val="00004628"/>
    <w:rsid w:val="00033AEB"/>
    <w:rsid w:val="0004366B"/>
    <w:rsid w:val="0004680C"/>
    <w:rsid w:val="0005006E"/>
    <w:rsid w:val="00063C37"/>
    <w:rsid w:val="00064836"/>
    <w:rsid w:val="0006489E"/>
    <w:rsid w:val="000649E5"/>
    <w:rsid w:val="000730E7"/>
    <w:rsid w:val="00080E70"/>
    <w:rsid w:val="000942E9"/>
    <w:rsid w:val="000A2CBE"/>
    <w:rsid w:val="000B5C24"/>
    <w:rsid w:val="000B76A4"/>
    <w:rsid w:val="000D6688"/>
    <w:rsid w:val="000E6153"/>
    <w:rsid w:val="000E6F74"/>
    <w:rsid w:val="000F26B2"/>
    <w:rsid w:val="001053A5"/>
    <w:rsid w:val="0010763C"/>
    <w:rsid w:val="001114E1"/>
    <w:rsid w:val="001166B9"/>
    <w:rsid w:val="0012151F"/>
    <w:rsid w:val="0012282B"/>
    <w:rsid w:val="0012382C"/>
    <w:rsid w:val="001260B1"/>
    <w:rsid w:val="00127BC1"/>
    <w:rsid w:val="00134CEA"/>
    <w:rsid w:val="00140007"/>
    <w:rsid w:val="00140E4F"/>
    <w:rsid w:val="001605D9"/>
    <w:rsid w:val="00161B87"/>
    <w:rsid w:val="00172671"/>
    <w:rsid w:val="0017642F"/>
    <w:rsid w:val="001775BF"/>
    <w:rsid w:val="00194813"/>
    <w:rsid w:val="001A03EA"/>
    <w:rsid w:val="001A4877"/>
    <w:rsid w:val="001B2652"/>
    <w:rsid w:val="001B672F"/>
    <w:rsid w:val="001C224E"/>
    <w:rsid w:val="001C2AF6"/>
    <w:rsid w:val="001C308C"/>
    <w:rsid w:val="001E1F26"/>
    <w:rsid w:val="001E26E3"/>
    <w:rsid w:val="001F5E4C"/>
    <w:rsid w:val="001F6071"/>
    <w:rsid w:val="002029C0"/>
    <w:rsid w:val="00217616"/>
    <w:rsid w:val="00220F5A"/>
    <w:rsid w:val="00220FB6"/>
    <w:rsid w:val="0022374A"/>
    <w:rsid w:val="00231BF1"/>
    <w:rsid w:val="00233B6E"/>
    <w:rsid w:val="00236CA5"/>
    <w:rsid w:val="002401A7"/>
    <w:rsid w:val="00292ACF"/>
    <w:rsid w:val="002A45A6"/>
    <w:rsid w:val="002B62B7"/>
    <w:rsid w:val="002C1B67"/>
    <w:rsid w:val="002C6A27"/>
    <w:rsid w:val="002D4181"/>
    <w:rsid w:val="002D5FC3"/>
    <w:rsid w:val="002D72DE"/>
    <w:rsid w:val="0030082A"/>
    <w:rsid w:val="00302833"/>
    <w:rsid w:val="00302C70"/>
    <w:rsid w:val="00312CC6"/>
    <w:rsid w:val="00322BF3"/>
    <w:rsid w:val="00323326"/>
    <w:rsid w:val="003246A4"/>
    <w:rsid w:val="00327F10"/>
    <w:rsid w:val="00330B2F"/>
    <w:rsid w:val="00332E7A"/>
    <w:rsid w:val="00341735"/>
    <w:rsid w:val="00344F77"/>
    <w:rsid w:val="00363C8D"/>
    <w:rsid w:val="00367875"/>
    <w:rsid w:val="0036793B"/>
    <w:rsid w:val="00370789"/>
    <w:rsid w:val="00384396"/>
    <w:rsid w:val="00397EAE"/>
    <w:rsid w:val="003A761A"/>
    <w:rsid w:val="003B1EEA"/>
    <w:rsid w:val="003B2449"/>
    <w:rsid w:val="003B58F2"/>
    <w:rsid w:val="003C485D"/>
    <w:rsid w:val="003D06F5"/>
    <w:rsid w:val="003E01EF"/>
    <w:rsid w:val="003E309B"/>
    <w:rsid w:val="003E3E52"/>
    <w:rsid w:val="003E6329"/>
    <w:rsid w:val="003E7840"/>
    <w:rsid w:val="003F0213"/>
    <w:rsid w:val="003F5418"/>
    <w:rsid w:val="003F647B"/>
    <w:rsid w:val="003F6A23"/>
    <w:rsid w:val="003F7B2F"/>
    <w:rsid w:val="004019BE"/>
    <w:rsid w:val="00410A86"/>
    <w:rsid w:val="004256A3"/>
    <w:rsid w:val="00425A5C"/>
    <w:rsid w:val="0043075A"/>
    <w:rsid w:val="00441CE0"/>
    <w:rsid w:val="00447A65"/>
    <w:rsid w:val="00450632"/>
    <w:rsid w:val="00457E37"/>
    <w:rsid w:val="00457F77"/>
    <w:rsid w:val="00482205"/>
    <w:rsid w:val="004825C6"/>
    <w:rsid w:val="0048521D"/>
    <w:rsid w:val="004B0DF5"/>
    <w:rsid w:val="004B36B0"/>
    <w:rsid w:val="004C1C9D"/>
    <w:rsid w:val="004C239B"/>
    <w:rsid w:val="004C299F"/>
    <w:rsid w:val="004C4350"/>
    <w:rsid w:val="004C52DF"/>
    <w:rsid w:val="004E2ECB"/>
    <w:rsid w:val="004F211F"/>
    <w:rsid w:val="00504340"/>
    <w:rsid w:val="00505B18"/>
    <w:rsid w:val="005070D8"/>
    <w:rsid w:val="00523A20"/>
    <w:rsid w:val="00524972"/>
    <w:rsid w:val="00525645"/>
    <w:rsid w:val="00527222"/>
    <w:rsid w:val="005321C5"/>
    <w:rsid w:val="0054111F"/>
    <w:rsid w:val="0054369A"/>
    <w:rsid w:val="00552543"/>
    <w:rsid w:val="0055662D"/>
    <w:rsid w:val="005609A2"/>
    <w:rsid w:val="005653E7"/>
    <w:rsid w:val="005729D3"/>
    <w:rsid w:val="00596E52"/>
    <w:rsid w:val="005A03C9"/>
    <w:rsid w:val="005A1AA8"/>
    <w:rsid w:val="005A30C7"/>
    <w:rsid w:val="005A47E5"/>
    <w:rsid w:val="005B6833"/>
    <w:rsid w:val="005C1149"/>
    <w:rsid w:val="005C7A6F"/>
    <w:rsid w:val="005D283D"/>
    <w:rsid w:val="005D2B47"/>
    <w:rsid w:val="005D30BA"/>
    <w:rsid w:val="005E29FC"/>
    <w:rsid w:val="005E64C3"/>
    <w:rsid w:val="005E667D"/>
    <w:rsid w:val="005F481F"/>
    <w:rsid w:val="005F4A8A"/>
    <w:rsid w:val="005F5180"/>
    <w:rsid w:val="005F636C"/>
    <w:rsid w:val="0061618D"/>
    <w:rsid w:val="00626042"/>
    <w:rsid w:val="00626682"/>
    <w:rsid w:val="00630AF1"/>
    <w:rsid w:val="006323A8"/>
    <w:rsid w:val="00632469"/>
    <w:rsid w:val="00633750"/>
    <w:rsid w:val="006361A8"/>
    <w:rsid w:val="00636C31"/>
    <w:rsid w:val="00641D05"/>
    <w:rsid w:val="00643ECD"/>
    <w:rsid w:val="00644981"/>
    <w:rsid w:val="006528BD"/>
    <w:rsid w:val="006747BF"/>
    <w:rsid w:val="00675771"/>
    <w:rsid w:val="00681BFA"/>
    <w:rsid w:val="00682075"/>
    <w:rsid w:val="00682695"/>
    <w:rsid w:val="00682720"/>
    <w:rsid w:val="006833E2"/>
    <w:rsid w:val="00695685"/>
    <w:rsid w:val="00695F83"/>
    <w:rsid w:val="006A1270"/>
    <w:rsid w:val="006C0A10"/>
    <w:rsid w:val="006D09D7"/>
    <w:rsid w:val="006E05FA"/>
    <w:rsid w:val="006E0DC2"/>
    <w:rsid w:val="006E1055"/>
    <w:rsid w:val="006E42AF"/>
    <w:rsid w:val="006F0610"/>
    <w:rsid w:val="006F72DF"/>
    <w:rsid w:val="007024F3"/>
    <w:rsid w:val="00703F2C"/>
    <w:rsid w:val="00712608"/>
    <w:rsid w:val="007135E1"/>
    <w:rsid w:val="00722167"/>
    <w:rsid w:val="0072288F"/>
    <w:rsid w:val="00730EDA"/>
    <w:rsid w:val="00732D2E"/>
    <w:rsid w:val="00736A02"/>
    <w:rsid w:val="00777AF5"/>
    <w:rsid w:val="007809A2"/>
    <w:rsid w:val="00780B4F"/>
    <w:rsid w:val="00785094"/>
    <w:rsid w:val="00790E9E"/>
    <w:rsid w:val="00792A06"/>
    <w:rsid w:val="00796100"/>
    <w:rsid w:val="007A2257"/>
    <w:rsid w:val="007A666A"/>
    <w:rsid w:val="007A798D"/>
    <w:rsid w:val="007B4252"/>
    <w:rsid w:val="007B6CAD"/>
    <w:rsid w:val="007B798D"/>
    <w:rsid w:val="007C4089"/>
    <w:rsid w:val="007D2732"/>
    <w:rsid w:val="007D792F"/>
    <w:rsid w:val="007E0431"/>
    <w:rsid w:val="007E3765"/>
    <w:rsid w:val="0080090F"/>
    <w:rsid w:val="008173A9"/>
    <w:rsid w:val="00830130"/>
    <w:rsid w:val="008409AF"/>
    <w:rsid w:val="00846A35"/>
    <w:rsid w:val="008613CC"/>
    <w:rsid w:val="00862A84"/>
    <w:rsid w:val="00867D47"/>
    <w:rsid w:val="00870923"/>
    <w:rsid w:val="00886538"/>
    <w:rsid w:val="00887660"/>
    <w:rsid w:val="00887740"/>
    <w:rsid w:val="008910B7"/>
    <w:rsid w:val="0089582B"/>
    <w:rsid w:val="008958CD"/>
    <w:rsid w:val="0089796F"/>
    <w:rsid w:val="008A1395"/>
    <w:rsid w:val="008A5828"/>
    <w:rsid w:val="008A75DE"/>
    <w:rsid w:val="008B03F9"/>
    <w:rsid w:val="008B44A7"/>
    <w:rsid w:val="008B7755"/>
    <w:rsid w:val="008D0351"/>
    <w:rsid w:val="008D18F0"/>
    <w:rsid w:val="008D1FBA"/>
    <w:rsid w:val="008D243A"/>
    <w:rsid w:val="008E45D4"/>
    <w:rsid w:val="008E7803"/>
    <w:rsid w:val="008F12C8"/>
    <w:rsid w:val="0090334D"/>
    <w:rsid w:val="00912372"/>
    <w:rsid w:val="009137D5"/>
    <w:rsid w:val="009148D7"/>
    <w:rsid w:val="00916C37"/>
    <w:rsid w:val="0092152C"/>
    <w:rsid w:val="00925666"/>
    <w:rsid w:val="009325AF"/>
    <w:rsid w:val="0095416C"/>
    <w:rsid w:val="00957EAF"/>
    <w:rsid w:val="009607A7"/>
    <w:rsid w:val="00962266"/>
    <w:rsid w:val="00962A97"/>
    <w:rsid w:val="009662D6"/>
    <w:rsid w:val="00983A0C"/>
    <w:rsid w:val="00984306"/>
    <w:rsid w:val="009845CC"/>
    <w:rsid w:val="00997CD3"/>
    <w:rsid w:val="009A33DD"/>
    <w:rsid w:val="009B76E3"/>
    <w:rsid w:val="009C16AD"/>
    <w:rsid w:val="009D13E8"/>
    <w:rsid w:val="009E10C3"/>
    <w:rsid w:val="009E4ABD"/>
    <w:rsid w:val="009F2D5A"/>
    <w:rsid w:val="00A0008A"/>
    <w:rsid w:val="00A10D36"/>
    <w:rsid w:val="00A14008"/>
    <w:rsid w:val="00A146A4"/>
    <w:rsid w:val="00A15E83"/>
    <w:rsid w:val="00A26149"/>
    <w:rsid w:val="00A314BA"/>
    <w:rsid w:val="00A31D9D"/>
    <w:rsid w:val="00A364C6"/>
    <w:rsid w:val="00A658D2"/>
    <w:rsid w:val="00A662C2"/>
    <w:rsid w:val="00A70527"/>
    <w:rsid w:val="00A73FAB"/>
    <w:rsid w:val="00A80D55"/>
    <w:rsid w:val="00A915ED"/>
    <w:rsid w:val="00A93C49"/>
    <w:rsid w:val="00A94051"/>
    <w:rsid w:val="00AA5376"/>
    <w:rsid w:val="00AB3E85"/>
    <w:rsid w:val="00AB6F20"/>
    <w:rsid w:val="00AC0296"/>
    <w:rsid w:val="00AC58DC"/>
    <w:rsid w:val="00AC7463"/>
    <w:rsid w:val="00AD45C9"/>
    <w:rsid w:val="00AD5CAA"/>
    <w:rsid w:val="00AF79EB"/>
    <w:rsid w:val="00B00B32"/>
    <w:rsid w:val="00B00BAE"/>
    <w:rsid w:val="00B11FE0"/>
    <w:rsid w:val="00B14273"/>
    <w:rsid w:val="00B16701"/>
    <w:rsid w:val="00B1711A"/>
    <w:rsid w:val="00B173D9"/>
    <w:rsid w:val="00B23F5F"/>
    <w:rsid w:val="00B2732B"/>
    <w:rsid w:val="00B40062"/>
    <w:rsid w:val="00B52796"/>
    <w:rsid w:val="00B61671"/>
    <w:rsid w:val="00B62FE1"/>
    <w:rsid w:val="00B641D7"/>
    <w:rsid w:val="00B71621"/>
    <w:rsid w:val="00B71CDB"/>
    <w:rsid w:val="00B74528"/>
    <w:rsid w:val="00B8239D"/>
    <w:rsid w:val="00B830C6"/>
    <w:rsid w:val="00B836E7"/>
    <w:rsid w:val="00B8441C"/>
    <w:rsid w:val="00B8540B"/>
    <w:rsid w:val="00B87603"/>
    <w:rsid w:val="00B923EE"/>
    <w:rsid w:val="00B931F2"/>
    <w:rsid w:val="00B9767E"/>
    <w:rsid w:val="00BA4DBF"/>
    <w:rsid w:val="00BB272D"/>
    <w:rsid w:val="00BB4980"/>
    <w:rsid w:val="00BB7550"/>
    <w:rsid w:val="00BC1947"/>
    <w:rsid w:val="00BC3EC4"/>
    <w:rsid w:val="00BC583B"/>
    <w:rsid w:val="00BE1F0A"/>
    <w:rsid w:val="00BE42A6"/>
    <w:rsid w:val="00BF3FCF"/>
    <w:rsid w:val="00BF72F2"/>
    <w:rsid w:val="00C02849"/>
    <w:rsid w:val="00C15C63"/>
    <w:rsid w:val="00C27438"/>
    <w:rsid w:val="00C3132C"/>
    <w:rsid w:val="00C31B26"/>
    <w:rsid w:val="00C32C2B"/>
    <w:rsid w:val="00C33D42"/>
    <w:rsid w:val="00C414FA"/>
    <w:rsid w:val="00C450F5"/>
    <w:rsid w:val="00C459D3"/>
    <w:rsid w:val="00C70933"/>
    <w:rsid w:val="00C73F6F"/>
    <w:rsid w:val="00C75885"/>
    <w:rsid w:val="00C82B14"/>
    <w:rsid w:val="00C901B2"/>
    <w:rsid w:val="00C91C61"/>
    <w:rsid w:val="00C957B6"/>
    <w:rsid w:val="00CA69EB"/>
    <w:rsid w:val="00CA7330"/>
    <w:rsid w:val="00CB0C4F"/>
    <w:rsid w:val="00CB32E5"/>
    <w:rsid w:val="00CD01F1"/>
    <w:rsid w:val="00CD09CD"/>
    <w:rsid w:val="00CD62EE"/>
    <w:rsid w:val="00CE5B34"/>
    <w:rsid w:val="00CF79EA"/>
    <w:rsid w:val="00D0091C"/>
    <w:rsid w:val="00D025A1"/>
    <w:rsid w:val="00D06DF5"/>
    <w:rsid w:val="00D11595"/>
    <w:rsid w:val="00D139DE"/>
    <w:rsid w:val="00D13F11"/>
    <w:rsid w:val="00D209F1"/>
    <w:rsid w:val="00D23763"/>
    <w:rsid w:val="00D30D59"/>
    <w:rsid w:val="00D3700B"/>
    <w:rsid w:val="00D44983"/>
    <w:rsid w:val="00D450C8"/>
    <w:rsid w:val="00D46B83"/>
    <w:rsid w:val="00D52B8C"/>
    <w:rsid w:val="00D54023"/>
    <w:rsid w:val="00D70AB9"/>
    <w:rsid w:val="00D74F3F"/>
    <w:rsid w:val="00D76E85"/>
    <w:rsid w:val="00D80004"/>
    <w:rsid w:val="00D810D2"/>
    <w:rsid w:val="00D81335"/>
    <w:rsid w:val="00D862F8"/>
    <w:rsid w:val="00D86569"/>
    <w:rsid w:val="00DA692E"/>
    <w:rsid w:val="00DB180A"/>
    <w:rsid w:val="00DB74EC"/>
    <w:rsid w:val="00DC0E47"/>
    <w:rsid w:val="00DC2E9B"/>
    <w:rsid w:val="00DC65DB"/>
    <w:rsid w:val="00DD0C67"/>
    <w:rsid w:val="00DD21A9"/>
    <w:rsid w:val="00DD2694"/>
    <w:rsid w:val="00DD27AC"/>
    <w:rsid w:val="00DD3BA1"/>
    <w:rsid w:val="00DD7515"/>
    <w:rsid w:val="00DE2B4A"/>
    <w:rsid w:val="00DE45E1"/>
    <w:rsid w:val="00DF0656"/>
    <w:rsid w:val="00DF0A90"/>
    <w:rsid w:val="00DF19F2"/>
    <w:rsid w:val="00DF79AF"/>
    <w:rsid w:val="00E021F9"/>
    <w:rsid w:val="00E059D4"/>
    <w:rsid w:val="00E16636"/>
    <w:rsid w:val="00E22CF4"/>
    <w:rsid w:val="00E37512"/>
    <w:rsid w:val="00E44AEA"/>
    <w:rsid w:val="00E5239B"/>
    <w:rsid w:val="00E52F23"/>
    <w:rsid w:val="00E61E44"/>
    <w:rsid w:val="00E67D17"/>
    <w:rsid w:val="00E7273A"/>
    <w:rsid w:val="00E843BB"/>
    <w:rsid w:val="00E9338C"/>
    <w:rsid w:val="00E962AF"/>
    <w:rsid w:val="00EA0327"/>
    <w:rsid w:val="00EA03C3"/>
    <w:rsid w:val="00EA170B"/>
    <w:rsid w:val="00EB3D70"/>
    <w:rsid w:val="00EC385E"/>
    <w:rsid w:val="00F41579"/>
    <w:rsid w:val="00F47410"/>
    <w:rsid w:val="00F518DB"/>
    <w:rsid w:val="00F64CF7"/>
    <w:rsid w:val="00F70089"/>
    <w:rsid w:val="00F74AC6"/>
    <w:rsid w:val="00F76766"/>
    <w:rsid w:val="00F8438F"/>
    <w:rsid w:val="00F9055F"/>
    <w:rsid w:val="00FA5068"/>
    <w:rsid w:val="00FA7D47"/>
    <w:rsid w:val="00FB3834"/>
    <w:rsid w:val="00FB7DCB"/>
    <w:rsid w:val="00FD47C1"/>
    <w:rsid w:val="00FD4DA0"/>
    <w:rsid w:val="00FE01E6"/>
    <w:rsid w:val="00FE34C7"/>
    <w:rsid w:val="00FE6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36A742C2"/>
  <w14:defaultImageDpi w14:val="330"/>
  <w15:docId w15:val="{FB7A2C2E-3B9D-4926-9BB4-B7BADBC0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3C3"/>
    <w:pPr>
      <w:spacing w:before="100" w:beforeAutospacing="1" w:after="100" w:afterAutospacing="1"/>
    </w:pPr>
    <w:rPr>
      <w:rFonts w:ascii="Arial" w:hAnsi="Arial" w:cs="Arial"/>
    </w:rPr>
  </w:style>
  <w:style w:type="paragraph" w:styleId="Titre1">
    <w:name w:val="heading 1"/>
    <w:basedOn w:val="Normal"/>
    <w:next w:val="Normal"/>
    <w:link w:val="Titre1Car"/>
    <w:uiPriority w:val="9"/>
    <w:qFormat/>
    <w:rsid w:val="001E1F26"/>
    <w:pPr>
      <w:keepNext/>
      <w:keepLines/>
      <w:spacing w:before="600"/>
      <w:outlineLvl w:val="0"/>
    </w:pPr>
    <w:rPr>
      <w:rFonts w:eastAsiaTheme="majorEastAsia"/>
      <w:color w:val="365F91" w:themeColor="accent1" w:themeShade="BF"/>
      <w:sz w:val="28"/>
      <w:szCs w:val="32"/>
    </w:rPr>
  </w:style>
  <w:style w:type="paragraph" w:styleId="Titre2">
    <w:name w:val="heading 2"/>
    <w:basedOn w:val="Titre3"/>
    <w:next w:val="Normal"/>
    <w:link w:val="Titre2Car"/>
    <w:uiPriority w:val="9"/>
    <w:unhideWhenUsed/>
    <w:qFormat/>
    <w:rsid w:val="001E1F26"/>
    <w:pPr>
      <w:outlineLvl w:val="1"/>
    </w:pPr>
    <w:rPr>
      <w:rFonts w:ascii="Arial" w:hAnsi="Arial" w:cs="Arial"/>
    </w:rPr>
  </w:style>
  <w:style w:type="paragraph" w:styleId="Titre3">
    <w:name w:val="heading 3"/>
    <w:basedOn w:val="Normal"/>
    <w:next w:val="Normal"/>
    <w:link w:val="Titre3Car"/>
    <w:uiPriority w:val="9"/>
    <w:unhideWhenUsed/>
    <w:qFormat/>
    <w:rsid w:val="00BB272D"/>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23326"/>
    <w:pPr>
      <w:tabs>
        <w:tab w:val="center" w:pos="4320"/>
        <w:tab w:val="right" w:pos="8640"/>
      </w:tabs>
    </w:pPr>
  </w:style>
  <w:style w:type="character" w:customStyle="1" w:styleId="En-tteCar">
    <w:name w:val="En-tête Car"/>
    <w:basedOn w:val="Policepardfaut"/>
    <w:link w:val="En-tte"/>
    <w:uiPriority w:val="99"/>
    <w:rsid w:val="00323326"/>
  </w:style>
  <w:style w:type="paragraph" w:styleId="Pieddepage">
    <w:name w:val="footer"/>
    <w:basedOn w:val="Normal"/>
    <w:link w:val="PieddepageCar"/>
    <w:uiPriority w:val="99"/>
    <w:unhideWhenUsed/>
    <w:rsid w:val="00410A86"/>
    <w:pPr>
      <w:tabs>
        <w:tab w:val="center" w:pos="4320"/>
        <w:tab w:val="right" w:pos="8640"/>
      </w:tabs>
    </w:pPr>
  </w:style>
  <w:style w:type="character" w:customStyle="1" w:styleId="PieddepageCar">
    <w:name w:val="Pied de page Car"/>
    <w:basedOn w:val="Policepardfaut"/>
    <w:link w:val="Pieddepage"/>
    <w:uiPriority w:val="99"/>
    <w:rsid w:val="00410A86"/>
  </w:style>
  <w:style w:type="paragraph" w:customStyle="1" w:styleId="BodyCopy">
    <w:name w:val="Body Copy"/>
    <w:basedOn w:val="Normal"/>
    <w:uiPriority w:val="99"/>
    <w:rsid w:val="00323326"/>
    <w:pPr>
      <w:widowControl w:val="0"/>
      <w:tabs>
        <w:tab w:val="left" w:pos="240"/>
      </w:tabs>
      <w:suppressAutoHyphens/>
      <w:autoSpaceDE w:val="0"/>
      <w:autoSpaceDN w:val="0"/>
      <w:adjustRightInd w:val="0"/>
      <w:spacing w:after="180" w:line="280" w:lineRule="atLeast"/>
      <w:textAlignment w:val="center"/>
    </w:pPr>
    <w:rPr>
      <w:rFonts w:ascii="Calibri" w:hAnsi="Calibri" w:cs="HelveticaNeue-Light"/>
      <w:color w:val="000000"/>
      <w:sz w:val="18"/>
      <w:szCs w:val="18"/>
    </w:rPr>
  </w:style>
  <w:style w:type="paragraph" w:styleId="NormalWeb">
    <w:name w:val="Normal (Web)"/>
    <w:basedOn w:val="Normal"/>
    <w:uiPriority w:val="99"/>
    <w:unhideWhenUsed/>
    <w:rsid w:val="00323326"/>
    <w:rPr>
      <w:rFonts w:ascii="Times" w:hAnsi="Times" w:cs="Times New Roman"/>
      <w:sz w:val="20"/>
      <w:szCs w:val="20"/>
    </w:rPr>
  </w:style>
  <w:style w:type="character" w:styleId="Titredulivre">
    <w:name w:val="Book Title"/>
    <w:basedOn w:val="Policepardfaut"/>
    <w:uiPriority w:val="33"/>
    <w:qFormat/>
    <w:rsid w:val="00323326"/>
    <w:rPr>
      <w:b/>
      <w:bCs/>
      <w:smallCaps/>
      <w:spacing w:val="5"/>
    </w:rPr>
  </w:style>
  <w:style w:type="character" w:styleId="Numrodepage">
    <w:name w:val="page number"/>
    <w:basedOn w:val="Policepardfaut"/>
    <w:autoRedefine/>
    <w:uiPriority w:val="99"/>
    <w:unhideWhenUsed/>
    <w:rsid w:val="00323326"/>
    <w:rPr>
      <w:rFonts w:ascii="Calibri" w:hAnsi="Calibri"/>
    </w:rPr>
  </w:style>
  <w:style w:type="paragraph" w:customStyle="1" w:styleId="Default">
    <w:name w:val="Default"/>
    <w:rsid w:val="00BC583B"/>
    <w:pPr>
      <w:widowControl w:val="0"/>
      <w:autoSpaceDE w:val="0"/>
      <w:autoSpaceDN w:val="0"/>
      <w:adjustRightInd w:val="0"/>
    </w:pPr>
    <w:rPr>
      <w:rFonts w:ascii="Verdana" w:hAnsi="Verdana" w:cs="Verdana"/>
      <w:color w:val="000000"/>
    </w:rPr>
  </w:style>
  <w:style w:type="paragraph" w:customStyle="1" w:styleId="TitlePageheader">
    <w:name w:val="Title Page header"/>
    <w:basedOn w:val="BodyCopy"/>
    <w:qFormat/>
    <w:rsid w:val="00732D2E"/>
    <w:pPr>
      <w:spacing w:after="0" w:line="240" w:lineRule="auto"/>
    </w:pPr>
    <w:rPr>
      <w:rFonts w:cs="Whitney-Bold"/>
      <w:b/>
      <w:bCs/>
      <w:color w:val="auto"/>
      <w:sz w:val="36"/>
      <w:szCs w:val="36"/>
    </w:rPr>
  </w:style>
  <w:style w:type="paragraph" w:customStyle="1" w:styleId="TitlePagesubheader">
    <w:name w:val="Title Page subheader"/>
    <w:basedOn w:val="BodyCopy"/>
    <w:qFormat/>
    <w:rsid w:val="002D72DE"/>
    <w:pPr>
      <w:spacing w:after="0" w:line="240" w:lineRule="auto"/>
    </w:pPr>
    <w:rPr>
      <w:rFonts w:cs="Whitney-Bold"/>
      <w:bCs/>
      <w:color w:val="auto"/>
      <w:sz w:val="24"/>
      <w:szCs w:val="24"/>
    </w:rPr>
  </w:style>
  <w:style w:type="paragraph" w:customStyle="1" w:styleId="TitlePageSubmission">
    <w:name w:val="Title Page Submission"/>
    <w:basedOn w:val="BodyCopy"/>
    <w:qFormat/>
    <w:rsid w:val="006E1055"/>
    <w:pPr>
      <w:spacing w:after="0" w:line="240" w:lineRule="auto"/>
    </w:pPr>
    <w:rPr>
      <w:rFonts w:cs="Whitney-Bold"/>
      <w:b/>
      <w:bCs/>
      <w:color w:val="005EB8"/>
      <w:sz w:val="24"/>
      <w:szCs w:val="24"/>
    </w:rPr>
  </w:style>
  <w:style w:type="paragraph" w:customStyle="1" w:styleId="TitlePagePresented">
    <w:name w:val="Title Page Presented"/>
    <w:basedOn w:val="TitlePagesubheader"/>
    <w:qFormat/>
    <w:rsid w:val="00AC58DC"/>
  </w:style>
  <w:style w:type="paragraph" w:customStyle="1" w:styleId="BodyText1">
    <w:name w:val="Body Text1"/>
    <w:basedOn w:val="NormalWeb"/>
    <w:qFormat/>
    <w:rsid w:val="002D72DE"/>
    <w:pPr>
      <w:spacing w:after="210" w:line="210" w:lineRule="atLeast"/>
      <w:jc w:val="both"/>
      <w:outlineLvl w:val="0"/>
    </w:pPr>
    <w:rPr>
      <w:rFonts w:ascii="Calibri" w:hAnsi="Calibri" w:cs="Arial"/>
      <w:color w:val="000000"/>
      <w:sz w:val="24"/>
      <w:szCs w:val="24"/>
    </w:rPr>
  </w:style>
  <w:style w:type="paragraph" w:customStyle="1" w:styleId="Bodyheadertitles">
    <w:name w:val="Body header titles"/>
    <w:basedOn w:val="NormalWeb"/>
    <w:qFormat/>
    <w:rsid w:val="00732D2E"/>
    <w:pPr>
      <w:spacing w:before="0" w:beforeAutospacing="0" w:after="210" w:afterAutospacing="0" w:line="210" w:lineRule="atLeast"/>
      <w:jc w:val="both"/>
      <w:outlineLvl w:val="0"/>
    </w:pPr>
    <w:rPr>
      <w:rFonts w:ascii="Arial" w:hAnsi="Arial" w:cs="Arial"/>
      <w:b/>
      <w:color w:val="000000"/>
      <w:sz w:val="24"/>
      <w:szCs w:val="24"/>
    </w:rPr>
  </w:style>
  <w:style w:type="paragraph" w:customStyle="1" w:styleId="Nametitle">
    <w:name w:val="Name title"/>
    <w:basedOn w:val="Normal"/>
    <w:qFormat/>
    <w:rsid w:val="008D0351"/>
    <w:pPr>
      <w:widowControl w:val="0"/>
      <w:tabs>
        <w:tab w:val="left" w:pos="240"/>
      </w:tabs>
      <w:suppressAutoHyphens/>
      <w:autoSpaceDE w:val="0"/>
      <w:autoSpaceDN w:val="0"/>
      <w:adjustRightInd w:val="0"/>
      <w:ind w:left="57"/>
      <w:textAlignment w:val="center"/>
    </w:pPr>
    <w:rPr>
      <w:rFonts w:ascii="Calibri" w:hAnsi="Calibri" w:cs="Whitney-Medium"/>
      <w:i/>
      <w:color w:val="005EB8"/>
      <w:sz w:val="16"/>
      <w:szCs w:val="16"/>
    </w:rPr>
  </w:style>
  <w:style w:type="paragraph" w:styleId="Notedebasdepage">
    <w:name w:val="footnote text"/>
    <w:basedOn w:val="Normal"/>
    <w:link w:val="NotedebasdepageCar"/>
    <w:uiPriority w:val="99"/>
    <w:unhideWhenUsed/>
    <w:rsid w:val="00DB74EC"/>
    <w:rPr>
      <w:sz w:val="20"/>
      <w:szCs w:val="20"/>
    </w:rPr>
  </w:style>
  <w:style w:type="character" w:customStyle="1" w:styleId="NotedebasdepageCar">
    <w:name w:val="Note de bas de page Car"/>
    <w:basedOn w:val="Policepardfaut"/>
    <w:link w:val="Notedebasdepage"/>
    <w:uiPriority w:val="99"/>
    <w:rsid w:val="00DB74EC"/>
    <w:rPr>
      <w:sz w:val="20"/>
      <w:szCs w:val="20"/>
    </w:rPr>
  </w:style>
  <w:style w:type="character" w:styleId="Appelnotedebasdep">
    <w:name w:val="footnote reference"/>
    <w:basedOn w:val="Policepardfaut"/>
    <w:uiPriority w:val="99"/>
    <w:semiHidden/>
    <w:unhideWhenUsed/>
    <w:rsid w:val="00DB74EC"/>
    <w:rPr>
      <w:vertAlign w:val="superscript"/>
    </w:rPr>
  </w:style>
  <w:style w:type="paragraph" w:styleId="Textedebulles">
    <w:name w:val="Balloon Text"/>
    <w:basedOn w:val="Normal"/>
    <w:link w:val="TextedebullesCar"/>
    <w:uiPriority w:val="99"/>
    <w:semiHidden/>
    <w:unhideWhenUsed/>
    <w:rsid w:val="000D6688"/>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6688"/>
    <w:rPr>
      <w:rFonts w:ascii="Segoe UI" w:hAnsi="Segoe UI" w:cs="Segoe UI"/>
      <w:sz w:val="18"/>
      <w:szCs w:val="18"/>
    </w:rPr>
  </w:style>
  <w:style w:type="character" w:styleId="Lienhypertexte">
    <w:name w:val="Hyperlink"/>
    <w:basedOn w:val="Policepardfaut"/>
    <w:uiPriority w:val="99"/>
    <w:unhideWhenUsed/>
    <w:rsid w:val="00C31B26"/>
    <w:rPr>
      <w:color w:val="0000FF" w:themeColor="hyperlink"/>
      <w:u w:val="single"/>
    </w:rPr>
  </w:style>
  <w:style w:type="paragraph" w:styleId="Paragraphedeliste">
    <w:name w:val="List Paragraph"/>
    <w:basedOn w:val="Normal"/>
    <w:uiPriority w:val="34"/>
    <w:qFormat/>
    <w:rsid w:val="00457E37"/>
    <w:pPr>
      <w:numPr>
        <w:numId w:val="9"/>
      </w:numPr>
      <w:spacing w:before="0" w:beforeAutospacing="0" w:after="120" w:afterAutospacing="0"/>
      <w:ind w:left="714" w:hanging="357"/>
    </w:pPr>
    <w:rPr>
      <w:rFonts w:eastAsiaTheme="minorHAnsi"/>
      <w:lang w:val="en-CA"/>
    </w:rPr>
  </w:style>
  <w:style w:type="character" w:styleId="Accentuationlgre">
    <w:name w:val="Subtle Emphasis"/>
    <w:basedOn w:val="Policepardfaut"/>
    <w:uiPriority w:val="19"/>
    <w:qFormat/>
    <w:rsid w:val="00BB272D"/>
    <w:rPr>
      <w:i/>
      <w:iCs/>
      <w:color w:val="404040" w:themeColor="text1" w:themeTint="BF"/>
    </w:rPr>
  </w:style>
  <w:style w:type="character" w:customStyle="1" w:styleId="Titre1Car">
    <w:name w:val="Titre 1 Car"/>
    <w:basedOn w:val="Policepardfaut"/>
    <w:link w:val="Titre1"/>
    <w:uiPriority w:val="9"/>
    <w:rsid w:val="001E1F26"/>
    <w:rPr>
      <w:rFonts w:ascii="Arial" w:eastAsiaTheme="majorEastAsia" w:hAnsi="Arial" w:cs="Arial"/>
      <w:color w:val="365F91" w:themeColor="accent1" w:themeShade="BF"/>
      <w:sz w:val="28"/>
      <w:szCs w:val="32"/>
    </w:rPr>
  </w:style>
  <w:style w:type="character" w:customStyle="1" w:styleId="Titre2Car">
    <w:name w:val="Titre 2 Car"/>
    <w:basedOn w:val="Policepardfaut"/>
    <w:link w:val="Titre2"/>
    <w:uiPriority w:val="9"/>
    <w:rsid w:val="001E1F26"/>
    <w:rPr>
      <w:rFonts w:ascii="Arial" w:eastAsiaTheme="majorEastAsia" w:hAnsi="Arial" w:cs="Arial"/>
      <w:color w:val="243F60" w:themeColor="accent1" w:themeShade="7F"/>
    </w:rPr>
  </w:style>
  <w:style w:type="character" w:customStyle="1" w:styleId="Titre3Car">
    <w:name w:val="Titre 3 Car"/>
    <w:basedOn w:val="Policepardfaut"/>
    <w:link w:val="Titre3"/>
    <w:uiPriority w:val="9"/>
    <w:rsid w:val="00BB272D"/>
    <w:rPr>
      <w:rFonts w:asciiTheme="majorHAnsi" w:eastAsiaTheme="majorEastAsia" w:hAnsiTheme="majorHAnsi" w:cstheme="majorBidi"/>
      <w:color w:val="243F60" w:themeColor="accent1" w:themeShade="7F"/>
    </w:rPr>
  </w:style>
  <w:style w:type="character" w:styleId="Marquedecommentaire">
    <w:name w:val="annotation reference"/>
    <w:basedOn w:val="Policepardfaut"/>
    <w:uiPriority w:val="99"/>
    <w:semiHidden/>
    <w:unhideWhenUsed/>
    <w:rsid w:val="00332E7A"/>
    <w:rPr>
      <w:sz w:val="16"/>
      <w:szCs w:val="16"/>
    </w:rPr>
  </w:style>
  <w:style w:type="paragraph" w:styleId="Commentaire">
    <w:name w:val="annotation text"/>
    <w:basedOn w:val="Normal"/>
    <w:link w:val="CommentaireCar"/>
    <w:uiPriority w:val="99"/>
    <w:semiHidden/>
    <w:unhideWhenUsed/>
    <w:rsid w:val="00332E7A"/>
    <w:rPr>
      <w:sz w:val="20"/>
      <w:szCs w:val="20"/>
    </w:rPr>
  </w:style>
  <w:style w:type="character" w:customStyle="1" w:styleId="CommentaireCar">
    <w:name w:val="Commentaire Car"/>
    <w:basedOn w:val="Policepardfaut"/>
    <w:link w:val="Commentaire"/>
    <w:uiPriority w:val="99"/>
    <w:semiHidden/>
    <w:rsid w:val="00332E7A"/>
    <w:rPr>
      <w:sz w:val="20"/>
      <w:szCs w:val="20"/>
    </w:rPr>
  </w:style>
  <w:style w:type="paragraph" w:styleId="Objetducommentaire">
    <w:name w:val="annotation subject"/>
    <w:basedOn w:val="Commentaire"/>
    <w:next w:val="Commentaire"/>
    <w:link w:val="ObjetducommentaireCar"/>
    <w:uiPriority w:val="99"/>
    <w:semiHidden/>
    <w:unhideWhenUsed/>
    <w:rsid w:val="00332E7A"/>
    <w:rPr>
      <w:b/>
      <w:bCs/>
    </w:rPr>
  </w:style>
  <w:style w:type="character" w:customStyle="1" w:styleId="ObjetducommentaireCar">
    <w:name w:val="Objet du commentaire Car"/>
    <w:basedOn w:val="CommentaireCar"/>
    <w:link w:val="Objetducommentaire"/>
    <w:uiPriority w:val="99"/>
    <w:semiHidden/>
    <w:rsid w:val="00332E7A"/>
    <w:rPr>
      <w:b/>
      <w:bCs/>
      <w:sz w:val="20"/>
      <w:szCs w:val="20"/>
    </w:rPr>
  </w:style>
  <w:style w:type="paragraph" w:customStyle="1" w:styleId="Body">
    <w:name w:val="Body"/>
    <w:rsid w:val="00140007"/>
    <w:pPr>
      <w:pBdr>
        <w:top w:val="nil"/>
        <w:left w:val="nil"/>
        <w:bottom w:val="nil"/>
        <w:right w:val="nil"/>
        <w:between w:val="nil"/>
        <w:bar w:val="nil"/>
      </w:pBdr>
      <w:spacing w:after="160" w:line="276" w:lineRule="auto"/>
      <w:jc w:val="both"/>
    </w:pPr>
    <w:rPr>
      <w:rFonts w:ascii="Tahoma" w:eastAsia="Tahoma" w:hAnsi="Tahoma" w:cs="Tahoma"/>
      <w:color w:val="000000"/>
      <w:u w:color="000000"/>
      <w:bdr w:val="nil"/>
      <w:shd w:val="clear" w:color="auto" w:fill="FEFFFE"/>
      <w:lang w:eastAsia="en-CA"/>
      <w14:textOutline w14:w="0" w14:cap="flat" w14:cmpd="sng" w14:algn="ctr">
        <w14:noFill/>
        <w14:prstDash w14:val="solid"/>
        <w14:bevel/>
      </w14:textOutline>
    </w:rPr>
  </w:style>
  <w:style w:type="numbering" w:customStyle="1" w:styleId="Bullet">
    <w:name w:val="Bullet"/>
    <w:rsid w:val="00140007"/>
    <w:pPr>
      <w:numPr>
        <w:numId w:val="1"/>
      </w:numPr>
    </w:pPr>
  </w:style>
  <w:style w:type="character" w:customStyle="1" w:styleId="Hyperlink0">
    <w:name w:val="Hyperlink.0"/>
    <w:basedOn w:val="Policepardfaut"/>
    <w:rsid w:val="00EA03C3"/>
    <w:rPr>
      <w:rFonts w:ascii="Times New Roman" w:eastAsia="Times New Roman" w:hAnsi="Times New Roman" w:cs="Times New Roman"/>
      <w:outline w:val="0"/>
      <w:color w:val="0563C1"/>
      <w:sz w:val="24"/>
      <w:szCs w:val="24"/>
      <w:u w:val="single" w:color="0563C1"/>
      <w:lang w:val="en-US"/>
    </w:rPr>
  </w:style>
  <w:style w:type="character" w:customStyle="1" w:styleId="Link">
    <w:name w:val="Link"/>
    <w:rsid w:val="00EA03C3"/>
    <w:rPr>
      <w:u w:val="single"/>
    </w:rPr>
  </w:style>
  <w:style w:type="character" w:customStyle="1" w:styleId="Hyperlink1">
    <w:name w:val="Hyperlink.1"/>
    <w:basedOn w:val="Link"/>
    <w:rsid w:val="00EA03C3"/>
    <w:rPr>
      <w:outline w:val="0"/>
      <w:color w:val="0563C1"/>
      <w:u w:val="single" w:color="0563C1"/>
      <w:lang w:val="es-ES_tradnl"/>
    </w:rPr>
  </w:style>
  <w:style w:type="character" w:customStyle="1" w:styleId="Hyperlink2">
    <w:name w:val="Hyperlink.2"/>
    <w:basedOn w:val="Link"/>
    <w:rsid w:val="00EA03C3"/>
    <w:rPr>
      <w:outline w:val="0"/>
      <w:color w:val="0563C1"/>
      <w:u w:val="single" w:color="0563C1"/>
    </w:rPr>
  </w:style>
  <w:style w:type="paragraph" w:customStyle="1" w:styleId="TableStyle2">
    <w:name w:val="Table Style 2"/>
    <w:rsid w:val="00EA03C3"/>
    <w:pPr>
      <w:pBdr>
        <w:top w:val="nil"/>
        <w:left w:val="nil"/>
        <w:bottom w:val="nil"/>
        <w:right w:val="nil"/>
        <w:between w:val="nil"/>
        <w:bar w:val="nil"/>
      </w:pBdr>
    </w:pPr>
    <w:rPr>
      <w:rFonts w:ascii="Helvetica Neue" w:eastAsia="Helvetica Neue" w:hAnsi="Helvetica Neue" w:cs="Helvetica Neue"/>
      <w:color w:val="000000"/>
      <w:sz w:val="20"/>
      <w:szCs w:val="20"/>
      <w:bdr w:val="nil"/>
      <w:lang w:val="en-CA" w:eastAsia="en-CA"/>
      <w14:textOutline w14:w="0" w14:cap="flat" w14:cmpd="sng" w14:algn="ctr">
        <w14:noFill/>
        <w14:prstDash w14:val="solid"/>
        <w14:bevel/>
      </w14:textOutline>
    </w:rPr>
  </w:style>
  <w:style w:type="numbering" w:customStyle="1" w:styleId="Dash">
    <w:name w:val="Dash"/>
    <w:rsid w:val="00B8239D"/>
    <w:pPr>
      <w:numPr>
        <w:numId w:val="2"/>
      </w:numPr>
    </w:pPr>
  </w:style>
  <w:style w:type="character" w:customStyle="1" w:styleId="Hyperlink3">
    <w:name w:val="Hyperlink.3"/>
    <w:basedOn w:val="Link"/>
    <w:rsid w:val="00D76E85"/>
    <w:rPr>
      <w:outline w:val="0"/>
      <w:color w:val="0563C1"/>
      <w:u w:val="single" w:color="0563C1"/>
    </w:rPr>
  </w:style>
  <w:style w:type="paragraph" w:customStyle="1" w:styleId="BodyA">
    <w:name w:val="Body A"/>
    <w:rsid w:val="000A2CBE"/>
    <w:pPr>
      <w:pBdr>
        <w:top w:val="nil"/>
        <w:left w:val="nil"/>
        <w:bottom w:val="nil"/>
        <w:right w:val="nil"/>
        <w:between w:val="nil"/>
        <w:bar w:val="nil"/>
      </w:pBdr>
      <w:spacing w:after="160" w:line="276" w:lineRule="auto"/>
      <w:jc w:val="both"/>
    </w:pPr>
    <w:rPr>
      <w:rFonts w:ascii="Tahoma" w:eastAsia="Tahoma" w:hAnsi="Tahoma" w:cs="Tahoma"/>
      <w:color w:val="000000"/>
      <w:u w:color="000000"/>
      <w:bdr w:val="nil"/>
      <w:shd w:val="clear" w:color="auto" w:fill="FEFFFE"/>
      <w:lang w:eastAsia="en-CA"/>
      <w14:textOutline w14:w="12700" w14:cap="flat" w14:cmpd="sng" w14:algn="ctr">
        <w14:noFill/>
        <w14:prstDash w14:val="solid"/>
        <w14:miter w14:lim="400000"/>
      </w14:textOutline>
    </w:rPr>
  </w:style>
  <w:style w:type="character" w:customStyle="1" w:styleId="None">
    <w:name w:val="None"/>
    <w:rsid w:val="008E7803"/>
  </w:style>
  <w:style w:type="paragraph" w:styleId="Notedefin">
    <w:name w:val="endnote text"/>
    <w:basedOn w:val="Normal"/>
    <w:link w:val="NotedefinCar"/>
    <w:uiPriority w:val="99"/>
    <w:semiHidden/>
    <w:unhideWhenUsed/>
    <w:rsid w:val="008B7755"/>
    <w:pPr>
      <w:spacing w:before="0" w:beforeAutospacing="0" w:after="0" w:afterAutospacing="0"/>
    </w:pPr>
    <w:rPr>
      <w:rFonts w:asciiTheme="minorHAnsi" w:eastAsiaTheme="minorHAnsi" w:hAnsiTheme="minorHAnsi" w:cstheme="minorBidi"/>
      <w:sz w:val="20"/>
      <w:szCs w:val="20"/>
      <w:lang w:val="en-CA"/>
    </w:rPr>
  </w:style>
  <w:style w:type="character" w:customStyle="1" w:styleId="NotedefinCar">
    <w:name w:val="Note de fin Car"/>
    <w:basedOn w:val="Policepardfaut"/>
    <w:link w:val="Notedefin"/>
    <w:uiPriority w:val="99"/>
    <w:semiHidden/>
    <w:rsid w:val="008B7755"/>
    <w:rPr>
      <w:rFonts w:eastAsiaTheme="minorHAnsi"/>
      <w:sz w:val="20"/>
      <w:szCs w:val="20"/>
      <w:lang w:val="en-CA"/>
    </w:rPr>
  </w:style>
  <w:style w:type="character" w:styleId="Appeldenotedefin">
    <w:name w:val="endnote reference"/>
    <w:basedOn w:val="Policepardfaut"/>
    <w:uiPriority w:val="99"/>
    <w:semiHidden/>
    <w:unhideWhenUsed/>
    <w:rsid w:val="008B7755"/>
    <w:rPr>
      <w:vertAlign w:val="superscript"/>
    </w:rPr>
  </w:style>
  <w:style w:type="character" w:customStyle="1" w:styleId="s2">
    <w:name w:val="s2"/>
    <w:basedOn w:val="Policepardfaut"/>
    <w:rsid w:val="00DE4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7632">
      <w:bodyDiv w:val="1"/>
      <w:marLeft w:val="0"/>
      <w:marRight w:val="0"/>
      <w:marTop w:val="0"/>
      <w:marBottom w:val="0"/>
      <w:divBdr>
        <w:top w:val="none" w:sz="0" w:space="0" w:color="auto"/>
        <w:left w:val="none" w:sz="0" w:space="0" w:color="auto"/>
        <w:bottom w:val="none" w:sz="0" w:space="0" w:color="auto"/>
        <w:right w:val="none" w:sz="0" w:space="0" w:color="auto"/>
      </w:divBdr>
    </w:div>
    <w:div w:id="728116803">
      <w:bodyDiv w:val="1"/>
      <w:marLeft w:val="0"/>
      <w:marRight w:val="0"/>
      <w:marTop w:val="0"/>
      <w:marBottom w:val="0"/>
      <w:divBdr>
        <w:top w:val="none" w:sz="0" w:space="0" w:color="auto"/>
        <w:left w:val="none" w:sz="0" w:space="0" w:color="auto"/>
        <w:bottom w:val="none" w:sz="0" w:space="0" w:color="auto"/>
        <w:right w:val="none" w:sz="0" w:space="0" w:color="auto"/>
      </w:divBdr>
    </w:div>
    <w:div w:id="749160723">
      <w:bodyDiv w:val="1"/>
      <w:marLeft w:val="0"/>
      <w:marRight w:val="0"/>
      <w:marTop w:val="0"/>
      <w:marBottom w:val="0"/>
      <w:divBdr>
        <w:top w:val="none" w:sz="0" w:space="0" w:color="auto"/>
        <w:left w:val="none" w:sz="0" w:space="0" w:color="auto"/>
        <w:bottom w:val="none" w:sz="0" w:space="0" w:color="auto"/>
        <w:right w:val="none" w:sz="0" w:space="0" w:color="auto"/>
      </w:divBdr>
    </w:div>
    <w:div w:id="920599200">
      <w:bodyDiv w:val="1"/>
      <w:marLeft w:val="0"/>
      <w:marRight w:val="0"/>
      <w:marTop w:val="0"/>
      <w:marBottom w:val="0"/>
      <w:divBdr>
        <w:top w:val="none" w:sz="0" w:space="0" w:color="auto"/>
        <w:left w:val="none" w:sz="0" w:space="0" w:color="auto"/>
        <w:bottom w:val="none" w:sz="0" w:space="0" w:color="auto"/>
        <w:right w:val="none" w:sz="0" w:space="0" w:color="auto"/>
      </w:divBdr>
    </w:div>
    <w:div w:id="1350449641">
      <w:bodyDiv w:val="1"/>
      <w:marLeft w:val="0"/>
      <w:marRight w:val="0"/>
      <w:marTop w:val="0"/>
      <w:marBottom w:val="0"/>
      <w:divBdr>
        <w:top w:val="none" w:sz="0" w:space="0" w:color="auto"/>
        <w:left w:val="none" w:sz="0" w:space="0" w:color="auto"/>
        <w:bottom w:val="none" w:sz="0" w:space="0" w:color="auto"/>
        <w:right w:val="none" w:sz="0" w:space="0" w:color="auto"/>
      </w:divBdr>
    </w:div>
    <w:div w:id="1490095868">
      <w:bodyDiv w:val="1"/>
      <w:marLeft w:val="0"/>
      <w:marRight w:val="0"/>
      <w:marTop w:val="0"/>
      <w:marBottom w:val="0"/>
      <w:divBdr>
        <w:top w:val="none" w:sz="0" w:space="0" w:color="auto"/>
        <w:left w:val="none" w:sz="0" w:space="0" w:color="auto"/>
        <w:bottom w:val="none" w:sz="0" w:space="0" w:color="auto"/>
        <w:right w:val="none" w:sz="0" w:space="0" w:color="auto"/>
      </w:divBdr>
    </w:div>
    <w:div w:id="2033992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61258-F241-4D0D-92C8-C6CB90CE7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1674</Words>
  <Characters>9213</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Nancy Goudreault</cp:lastModifiedBy>
  <cp:revision>2</cp:revision>
  <cp:lastPrinted>2019-10-31T12:26:00Z</cp:lastPrinted>
  <dcterms:created xsi:type="dcterms:W3CDTF">2023-02-15T11:54:00Z</dcterms:created>
  <dcterms:modified xsi:type="dcterms:W3CDTF">2023-02-15T11:54:00Z</dcterms:modified>
</cp:coreProperties>
</file>