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fr-CA"/>
        </w:rPr>
        <w:id w:val="991917437"/>
        <w:docPartObj>
          <w:docPartGallery w:val="Cover Pages"/>
          <w:docPartUnique/>
        </w:docPartObj>
      </w:sdtPr>
      <w:sdtEndPr/>
      <w:sdtContent>
        <w:p w14:paraId="343F18D0" w14:textId="77777777" w:rsidR="00323326" w:rsidRPr="009C6CCF" w:rsidRDefault="00323326" w:rsidP="00B72EF8">
          <w:pPr>
            <w:rPr>
              <w:lang w:val="fr-CA"/>
            </w:rPr>
          </w:pPr>
        </w:p>
        <w:p w14:paraId="73A7A439" w14:textId="77777777" w:rsidR="00732D2E" w:rsidRPr="009C6CCF" w:rsidRDefault="00B830C6" w:rsidP="00B72EF8">
          <w:pPr>
            <w:rPr>
              <w:lang w:val="fr-CA"/>
            </w:rPr>
          </w:pPr>
          <w:r w:rsidRPr="009C6CCF">
            <w:rPr>
              <w:b/>
              <w:color w:val="1F5193"/>
              <w:lang w:val="fr-CA"/>
            </w:rPr>
            <w:t xml:space="preserve"> </w:t>
          </w:r>
        </w:p>
      </w:sdtContent>
    </w:sdt>
    <w:p w14:paraId="636BB5FE" w14:textId="389E5995" w:rsidR="00702CBA" w:rsidRPr="009C6CCF" w:rsidRDefault="00C47C72" w:rsidP="00702CBA">
      <w:pPr>
        <w:pStyle w:val="TitlePageheader"/>
        <w:spacing w:before="4000" w:beforeAutospacing="0" w:after="100"/>
        <w:jc w:val="center"/>
        <w:rPr>
          <w:rFonts w:ascii="Arial" w:hAnsi="Arial" w:cs="Arial"/>
          <w:sz w:val="28"/>
          <w:szCs w:val="32"/>
          <w:lang w:val="fr-CA"/>
        </w:rPr>
      </w:pPr>
      <w:bookmarkStart w:id="0" w:name="_Hlk93579725"/>
      <w:r w:rsidRPr="009C6CCF">
        <w:rPr>
          <w:rFonts w:ascii="Arial" w:hAnsi="Arial" w:cs="Arial"/>
          <w:sz w:val="28"/>
          <w:szCs w:val="32"/>
          <w:lang w:val="fr-CA"/>
        </w:rPr>
        <w:br/>
      </w:r>
      <w:r w:rsidR="002418BB" w:rsidRPr="009C6CCF">
        <w:rPr>
          <w:rFonts w:ascii="Arial" w:hAnsi="Arial" w:cs="Arial"/>
          <w:sz w:val="28"/>
          <w:szCs w:val="32"/>
          <w:lang w:val="fr-CA"/>
        </w:rPr>
        <w:t xml:space="preserve">Un plan économique et une stratégie industrielle </w:t>
      </w:r>
      <w:r w:rsidR="002418BB" w:rsidRPr="009C6CCF">
        <w:rPr>
          <w:rFonts w:ascii="Arial" w:hAnsi="Arial" w:cs="Arial"/>
          <w:sz w:val="28"/>
          <w:szCs w:val="32"/>
          <w:lang w:val="fr-CA"/>
        </w:rPr>
        <w:br/>
        <w:t>en faveur des travailleuses et travailleurs</w:t>
      </w:r>
    </w:p>
    <w:bookmarkEnd w:id="0"/>
    <w:p w14:paraId="11CB52A3" w14:textId="7784899D" w:rsidR="00983A0C" w:rsidRPr="009C6CCF" w:rsidRDefault="0030082A" w:rsidP="00B72EF8">
      <w:pPr>
        <w:pStyle w:val="TitlePagesubheader"/>
        <w:rPr>
          <w:rStyle w:val="SubtleEmphasis"/>
          <w:rFonts w:ascii="Arial" w:hAnsi="Arial" w:cs="Arial"/>
          <w:i w:val="0"/>
          <w:iCs w:val="0"/>
          <w:color w:val="auto"/>
          <w:lang w:val="fr-CA"/>
        </w:rPr>
      </w:pPr>
      <w:r w:rsidRPr="009C6CCF">
        <w:rPr>
          <w:rFonts w:ascii="Arial" w:hAnsi="Arial" w:cs="Arial"/>
          <w:noProof/>
          <w:lang w:val="fr-CA" w:eastAsia="en-CA"/>
        </w:rPr>
        <mc:AlternateContent>
          <mc:Choice Requires="wps">
            <w:drawing>
              <wp:anchor distT="0" distB="0" distL="114300" distR="114300" simplePos="0" relativeHeight="251680768" behindDoc="0" locked="0" layoutInCell="1" allowOverlap="1" wp14:anchorId="4F3387FB" wp14:editId="166AAFC6">
                <wp:simplePos x="0" y="0"/>
                <wp:positionH relativeFrom="margin">
                  <wp:posOffset>778510</wp:posOffset>
                </wp:positionH>
                <wp:positionV relativeFrom="paragraph">
                  <wp:posOffset>95250</wp:posOffset>
                </wp:positionV>
                <wp:extent cx="4400550" cy="0"/>
                <wp:effectExtent l="0" t="0" r="0" b="0"/>
                <wp:wrapTopAndBottom/>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0550" cy="0"/>
                        </a:xfrm>
                        <a:prstGeom prst="line">
                          <a:avLst/>
                        </a:prstGeom>
                        <a:ln w="19050" cmpd="sng">
                          <a:solidFill>
                            <a:srgbClr val="00285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203E998F" id="Straight Connector 12" o:spid="_x0000_s1026" alt="&quot;&quot;"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3pt,7.5pt" to="40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" strokecolor="#002855" strokeweight="1.5pt">
                <w10:wrap xmlns:w10="urn:schemas-microsoft-com:office:word" type="topAndBottom" anchorx="margin"/>
              </v:line>
            </w:pict>
          </mc:Fallback>
        </mc:AlternateContent>
      </w:r>
    </w:p>
    <w:p w14:paraId="1748B94D" w14:textId="358F4ACA" w:rsidR="002418BB" w:rsidRPr="009C6CCF" w:rsidRDefault="002418BB" w:rsidP="00995C0E">
      <w:pPr>
        <w:jc w:val="center"/>
        <w:rPr>
          <w:sz w:val="28"/>
          <w:lang w:val="fr-CA"/>
        </w:rPr>
      </w:pPr>
      <w:r w:rsidRPr="009C6CCF">
        <w:rPr>
          <w:sz w:val="28"/>
          <w:lang w:val="fr-CA"/>
        </w:rPr>
        <w:t xml:space="preserve">Mémoire au Comité permanent des finances dans le </w:t>
      </w:r>
      <w:r w:rsidRPr="009C6CCF">
        <w:rPr>
          <w:sz w:val="28"/>
          <w:lang w:val="fr-CA"/>
        </w:rPr>
        <w:br/>
        <w:t>cadre de la consultation sur le budget fédéral 2025</w:t>
      </w:r>
    </w:p>
    <w:p w14:paraId="402DE23A" w14:textId="3025CF52" w:rsidR="0030082A" w:rsidRPr="009C6CCF" w:rsidRDefault="002418BB" w:rsidP="005901D8">
      <w:pPr>
        <w:pStyle w:val="TitlePagesubheader"/>
        <w:jc w:val="center"/>
        <w:rPr>
          <w:rStyle w:val="SubtleEmphasis"/>
          <w:rFonts w:ascii="Arial" w:hAnsi="Arial" w:cs="Arial"/>
          <w:i w:val="0"/>
          <w:iCs w:val="0"/>
          <w:color w:val="auto"/>
          <w:sz w:val="30"/>
          <w:szCs w:val="30"/>
          <w:lang w:val="fr-CA"/>
        </w:rPr>
      </w:pPr>
      <w:r w:rsidRPr="009C6CCF">
        <w:rPr>
          <w:rStyle w:val="SubtleEmphasis"/>
          <w:rFonts w:ascii="Arial" w:hAnsi="Arial" w:cs="Arial"/>
          <w:i w:val="0"/>
          <w:iCs w:val="0"/>
          <w:color w:val="auto"/>
          <w:lang w:val="fr-CA"/>
        </w:rPr>
        <w:t xml:space="preserve">Octobre </w:t>
      </w:r>
      <w:r w:rsidR="00174B0C" w:rsidRPr="009C6CCF">
        <w:rPr>
          <w:rStyle w:val="SubtleEmphasis"/>
          <w:rFonts w:ascii="Arial" w:hAnsi="Arial" w:cs="Arial"/>
          <w:i w:val="0"/>
          <w:iCs w:val="0"/>
          <w:color w:val="auto"/>
          <w:lang w:val="fr-CA"/>
        </w:rPr>
        <w:t>2024</w:t>
      </w:r>
    </w:p>
    <w:p w14:paraId="3B4C9417" w14:textId="77777777" w:rsidR="00D30D59" w:rsidRPr="009C6CCF" w:rsidRDefault="00792A06" w:rsidP="00B72EF8">
      <w:pPr>
        <w:rPr>
          <w:lang w:val="fr-CA"/>
        </w:rPr>
      </w:pPr>
      <w:r w:rsidRPr="009C6CCF">
        <w:rPr>
          <w:lang w:val="fr-CA"/>
        </w:rPr>
        <w:br w:type="page"/>
      </w:r>
    </w:p>
    <w:p w14:paraId="03D9FD64" w14:textId="21791E16" w:rsidR="0030082A" w:rsidRPr="009C6CCF" w:rsidRDefault="002418BB" w:rsidP="00621225">
      <w:pPr>
        <w:pStyle w:val="Heading1"/>
        <w:jc w:val="both"/>
        <w:rPr>
          <w:lang w:val="fr-CA"/>
        </w:rPr>
      </w:pPr>
      <w:r w:rsidRPr="009C6CCF">
        <w:rPr>
          <w:lang w:val="fr-CA"/>
        </w:rPr>
        <w:lastRenderedPageBreak/>
        <w:t>À propos d’Unifor</w:t>
      </w:r>
    </w:p>
    <w:p w14:paraId="51489C06" w14:textId="79D64E25" w:rsidR="002E39FF" w:rsidRPr="009C6CCF" w:rsidRDefault="00A0713A" w:rsidP="00621225">
      <w:pPr>
        <w:jc w:val="both"/>
        <w:rPr>
          <w:lang w:val="fr-CA"/>
        </w:rPr>
      </w:pPr>
      <w:r w:rsidRPr="009C6CCF">
        <w:rPr>
          <w:lang w:val="fr-CA"/>
        </w:rPr>
        <w:t xml:space="preserve">Unifor </w:t>
      </w:r>
      <w:r w:rsidR="002E39FF" w:rsidRPr="009C6CCF">
        <w:rPr>
          <w:lang w:val="fr-CA"/>
        </w:rPr>
        <w:t xml:space="preserve">est le plus grand syndicat du secteur privé au Canada, représentant 320 000 travailleuses et travailleurs dans tous les principaux secteurs de l’économie, notamment la fabrication de pointe, les ressources naturelles, les transports, les communications, ainsi que les secteurs des services publics et privés. Au nom de ces membres, de leur famille et de leur communauté, Unifor se réjouit de l’occasion qui lui est donnée de partager un sommaire des propositions </w:t>
      </w:r>
      <w:r w:rsidR="00D72FA5" w:rsidRPr="009C6CCF">
        <w:rPr>
          <w:lang w:val="fr-CA"/>
        </w:rPr>
        <w:t xml:space="preserve">en vue </w:t>
      </w:r>
      <w:r w:rsidR="002E39FF" w:rsidRPr="009C6CCF">
        <w:rPr>
          <w:lang w:val="fr-CA"/>
        </w:rPr>
        <w:t xml:space="preserve">du budget </w:t>
      </w:r>
      <w:r w:rsidR="00D72FA5" w:rsidRPr="009C6CCF">
        <w:rPr>
          <w:lang w:val="fr-CA"/>
        </w:rPr>
        <w:t xml:space="preserve">de </w:t>
      </w:r>
      <w:r w:rsidR="002E39FF" w:rsidRPr="009C6CCF">
        <w:rPr>
          <w:lang w:val="fr-CA"/>
        </w:rPr>
        <w:t>2025.</w:t>
      </w:r>
    </w:p>
    <w:p w14:paraId="46750AA5" w14:textId="72FC0791" w:rsidR="00321B7B" w:rsidRPr="009C6CCF" w:rsidRDefault="00F51B77" w:rsidP="00621225">
      <w:pPr>
        <w:pStyle w:val="Heading1"/>
        <w:jc w:val="both"/>
        <w:rPr>
          <w:lang w:val="fr-CA"/>
        </w:rPr>
      </w:pPr>
      <w:r w:rsidRPr="009C6CCF">
        <w:rPr>
          <w:lang w:val="fr-CA"/>
        </w:rPr>
        <w:t>Stratégies industrielles</w:t>
      </w:r>
    </w:p>
    <w:p w14:paraId="213537CA" w14:textId="61879A46" w:rsidR="0038060F" w:rsidRPr="009C6CCF" w:rsidRDefault="006E69FA" w:rsidP="00621225">
      <w:pPr>
        <w:pStyle w:val="Heading2"/>
        <w:numPr>
          <w:ilvl w:val="0"/>
          <w:numId w:val="8"/>
        </w:numPr>
        <w:jc w:val="both"/>
        <w:rPr>
          <w:rFonts w:ascii="Arial" w:hAnsi="Arial" w:cs="Arial"/>
          <w:lang w:val="fr-CA"/>
        </w:rPr>
      </w:pPr>
      <w:r w:rsidRPr="009C6CCF">
        <w:rPr>
          <w:rFonts w:ascii="Arial" w:hAnsi="Arial" w:cs="Arial"/>
          <w:lang w:val="fr-CA"/>
        </w:rPr>
        <w:t>Renforcer l’industrie canadienne de l’aérospatiale</w:t>
      </w:r>
    </w:p>
    <w:p w14:paraId="5B07BE66" w14:textId="0BA8BD2A" w:rsidR="006E69FA" w:rsidRPr="009C6CCF" w:rsidRDefault="006E69FA" w:rsidP="00621225">
      <w:pPr>
        <w:jc w:val="both"/>
        <w:rPr>
          <w:lang w:val="fr-CA"/>
        </w:rPr>
      </w:pPr>
      <w:r w:rsidRPr="009C6CCF">
        <w:rPr>
          <w:lang w:val="fr-CA"/>
        </w:rPr>
        <w:t>L’industrie canadienne de l’aérospatiale offre des avantages économiques substantiels et de bons emplois syndiqués à l’économie. Les travailleuses et travailleurs de l’aérospatiale veulent s’assurer que le Canada maintient et développe son statut de nation</w:t>
      </w:r>
      <w:r w:rsidR="00CC793D" w:rsidRPr="009C6CCF">
        <w:rPr>
          <w:lang w:val="fr-CA"/>
        </w:rPr>
        <w:t xml:space="preserve"> de premier plan en aérospatiale.</w:t>
      </w:r>
      <w:r w:rsidRPr="009C6CCF">
        <w:rPr>
          <w:lang w:val="fr-CA"/>
        </w:rPr>
        <w:t xml:space="preserve"> </w:t>
      </w:r>
    </w:p>
    <w:p w14:paraId="678A2A8B"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64EFA116" w14:textId="64B6BB78" w:rsidR="00455544" w:rsidRPr="009C6CCF" w:rsidRDefault="00455544" w:rsidP="00621225">
      <w:pPr>
        <w:pStyle w:val="ListParagraph"/>
        <w:numPr>
          <w:ilvl w:val="0"/>
          <w:numId w:val="9"/>
        </w:numPr>
        <w:jc w:val="both"/>
        <w:rPr>
          <w:lang w:val="fr-CA"/>
        </w:rPr>
      </w:pPr>
      <w:r w:rsidRPr="009C6CCF">
        <w:rPr>
          <w:lang w:val="fr-CA"/>
        </w:rPr>
        <w:t>de concevoir une stratégie nationale pour l’industrie de l’aérospatiale en tenant compte de la contribution importante et multipartite des parties prenant</w:t>
      </w:r>
      <w:r w:rsidR="005C1594" w:rsidRPr="009C6CCF">
        <w:rPr>
          <w:lang w:val="fr-CA"/>
        </w:rPr>
        <w:t>e</w:t>
      </w:r>
      <w:r w:rsidRPr="009C6CCF">
        <w:rPr>
          <w:lang w:val="fr-CA"/>
        </w:rPr>
        <w:t>s, y compris des syndicats;</w:t>
      </w:r>
    </w:p>
    <w:p w14:paraId="25D9EDAD" w14:textId="06F8FE3F" w:rsidR="00455544" w:rsidRPr="009C6CCF" w:rsidRDefault="00455544" w:rsidP="00621225">
      <w:pPr>
        <w:pStyle w:val="ListParagraph"/>
        <w:numPr>
          <w:ilvl w:val="0"/>
          <w:numId w:val="9"/>
        </w:numPr>
        <w:jc w:val="both"/>
        <w:rPr>
          <w:lang w:val="fr-CA"/>
        </w:rPr>
      </w:pPr>
      <w:r w:rsidRPr="009C6CCF">
        <w:rPr>
          <w:lang w:val="fr-CA"/>
        </w:rPr>
        <w:t>d’établir un programme d’investissement industriel bien capitalisé, à long terme et flexible, consacré à l’industrie canadienne de l’aérospatiale;</w:t>
      </w:r>
    </w:p>
    <w:p w14:paraId="76C9FA79" w14:textId="2AA30BC9" w:rsidR="00455544" w:rsidRPr="009C6CCF" w:rsidRDefault="00455544" w:rsidP="00621225">
      <w:pPr>
        <w:pStyle w:val="ListParagraph"/>
        <w:numPr>
          <w:ilvl w:val="0"/>
          <w:numId w:val="9"/>
        </w:numPr>
        <w:jc w:val="both"/>
        <w:rPr>
          <w:lang w:val="fr-CA"/>
        </w:rPr>
      </w:pPr>
      <w:r w:rsidRPr="009C6CCF">
        <w:rPr>
          <w:lang w:val="fr-CA"/>
        </w:rPr>
        <w:t>de maximiser le contenu canadien dans tous les marchés publics liés à l’aérospatiale.</w:t>
      </w:r>
    </w:p>
    <w:p w14:paraId="5615A5A1" w14:textId="695EAB54" w:rsidR="00321B7B" w:rsidRPr="009C6CCF" w:rsidRDefault="00B26584" w:rsidP="00621225">
      <w:pPr>
        <w:pStyle w:val="Heading2"/>
        <w:jc w:val="both"/>
        <w:rPr>
          <w:rFonts w:ascii="Arial" w:hAnsi="Arial" w:cs="Arial"/>
          <w:lang w:val="fr-CA"/>
        </w:rPr>
      </w:pPr>
      <w:r w:rsidRPr="009C6CCF">
        <w:rPr>
          <w:rFonts w:ascii="Arial" w:hAnsi="Arial" w:cs="Arial"/>
          <w:lang w:val="fr-CA"/>
        </w:rPr>
        <w:t>Assurer un soutien continu à l’industrie automobile canadienne</w:t>
      </w:r>
    </w:p>
    <w:p w14:paraId="64B4BB39" w14:textId="5EC3DCBB" w:rsidR="007474DD" w:rsidRPr="009C6CCF" w:rsidRDefault="00417F5F" w:rsidP="00621225">
      <w:pPr>
        <w:jc w:val="both"/>
        <w:rPr>
          <w:lang w:val="fr-CA"/>
        </w:rPr>
      </w:pPr>
      <w:r w:rsidRPr="009C6CCF">
        <w:rPr>
          <w:rFonts w:eastAsia="Calibri"/>
          <w:szCs w:val="22"/>
          <w:lang w:val="fr-CA"/>
        </w:rPr>
        <w:t>Les investissements historiques réalisés dans la production de véhicules électriques et de batteries, ainsi que dans le traitement des matériaux de batteries, témoignent de l’importance pour le gouvernement d’élaborer une politique d’investissement active afin de développer l’industrie et de créer de bons emplois</w:t>
      </w:r>
      <w:r w:rsidR="0038060F" w:rsidRPr="009C6CCF">
        <w:rPr>
          <w:lang w:val="fr-CA"/>
        </w:rPr>
        <w:t xml:space="preserve">. </w:t>
      </w:r>
      <w:r w:rsidR="007474DD" w:rsidRPr="009C6CCF">
        <w:rPr>
          <w:lang w:val="fr-CA"/>
        </w:rPr>
        <w:t>Le Canada doit poursuivre le développement de l’industrie automobile et de sa chaîne d’approvisionnement, ainsi que soutenir les travailleuses et travailleurs vulnérables dans le cadre de la transition.</w:t>
      </w:r>
    </w:p>
    <w:p w14:paraId="3A8EF4AE"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306492C5" w14:textId="5FEA7007" w:rsidR="005B171D" w:rsidRPr="009C6CCF" w:rsidRDefault="005B171D" w:rsidP="00621225">
      <w:pPr>
        <w:pStyle w:val="ListParagraph"/>
        <w:numPr>
          <w:ilvl w:val="0"/>
          <w:numId w:val="10"/>
        </w:numPr>
        <w:jc w:val="both"/>
        <w:rPr>
          <w:lang w:val="fr-CA"/>
        </w:rPr>
      </w:pPr>
      <w:r w:rsidRPr="009C6CCF">
        <w:rPr>
          <w:lang w:val="fr-CA"/>
        </w:rPr>
        <w:t>de recapitaliser et de réorienter le Fonds stratégique pour l’innovation afin de soutenir les investissements axés sur la transition dans l’industrie des pièces d’automobiles;</w:t>
      </w:r>
    </w:p>
    <w:p w14:paraId="772CEFCF" w14:textId="08E03E5E" w:rsidR="005B171D" w:rsidRDefault="00E21404" w:rsidP="00621225">
      <w:pPr>
        <w:pStyle w:val="ListParagraph"/>
        <w:numPr>
          <w:ilvl w:val="0"/>
          <w:numId w:val="10"/>
        </w:numPr>
        <w:jc w:val="both"/>
        <w:rPr>
          <w:lang w:val="fr-CA"/>
        </w:rPr>
      </w:pPr>
      <w:proofErr w:type="gramStart"/>
      <w:r w:rsidRPr="009C6CCF">
        <w:rPr>
          <w:lang w:val="fr-CA"/>
        </w:rPr>
        <w:t>d’</w:t>
      </w:r>
      <w:r w:rsidR="005B171D" w:rsidRPr="009C6CCF">
        <w:rPr>
          <w:lang w:val="fr-CA"/>
        </w:rPr>
        <w:t>augmenter</w:t>
      </w:r>
      <w:proofErr w:type="gramEnd"/>
      <w:r w:rsidR="005B171D" w:rsidRPr="009C6CCF">
        <w:rPr>
          <w:lang w:val="fr-CA"/>
        </w:rPr>
        <w:t xml:space="preserve"> le rabais maximal du programme </w:t>
      </w:r>
      <w:r w:rsidR="00737355" w:rsidRPr="009C6CCF">
        <w:rPr>
          <w:lang w:val="fr-CA"/>
        </w:rPr>
        <w:t>d’incitatifs pour l’achat de</w:t>
      </w:r>
      <w:r w:rsidR="005B171D" w:rsidRPr="009C6CCF">
        <w:rPr>
          <w:lang w:val="fr-CA"/>
        </w:rPr>
        <w:t xml:space="preserve"> véhicules zéro émission à 10 000 $, </w:t>
      </w:r>
      <w:r w:rsidR="00500B87" w:rsidRPr="009C6CCF">
        <w:rPr>
          <w:lang w:val="fr-CA"/>
        </w:rPr>
        <w:t xml:space="preserve">de </w:t>
      </w:r>
      <w:r w:rsidR="005B171D" w:rsidRPr="009C6CCF">
        <w:rPr>
          <w:lang w:val="fr-CA"/>
        </w:rPr>
        <w:t>prolonger le programme au moins jusqu’au 31</w:t>
      </w:r>
      <w:r w:rsidR="00500B87" w:rsidRPr="009C6CCF">
        <w:rPr>
          <w:lang w:val="fr-CA"/>
        </w:rPr>
        <w:t> </w:t>
      </w:r>
      <w:r w:rsidR="005B171D" w:rsidRPr="009C6CCF">
        <w:rPr>
          <w:lang w:val="fr-CA"/>
        </w:rPr>
        <w:t xml:space="preserve">mars 2030, </w:t>
      </w:r>
      <w:r w:rsidR="00737355" w:rsidRPr="009C6CCF">
        <w:rPr>
          <w:lang w:val="fr-CA"/>
        </w:rPr>
        <w:t xml:space="preserve">et </w:t>
      </w:r>
      <w:r w:rsidR="00500B87" w:rsidRPr="009C6CCF">
        <w:rPr>
          <w:lang w:val="fr-CA"/>
        </w:rPr>
        <w:t>d’</w:t>
      </w:r>
      <w:r w:rsidR="00737355" w:rsidRPr="009C6CCF">
        <w:rPr>
          <w:lang w:val="fr-CA"/>
        </w:rPr>
        <w:t xml:space="preserve">établir un réseau de recharge de référence d’au moins </w:t>
      </w:r>
      <w:r w:rsidR="00500B87" w:rsidRPr="009C6CCF">
        <w:rPr>
          <w:lang w:val="fr-CA"/>
        </w:rPr>
        <w:t>1</w:t>
      </w:r>
      <w:r w:rsidR="00737355" w:rsidRPr="009C6CCF">
        <w:rPr>
          <w:lang w:val="fr-CA"/>
        </w:rPr>
        <w:t xml:space="preserve"> chargeur pour 10</w:t>
      </w:r>
      <w:r w:rsidR="00500B87" w:rsidRPr="009C6CCF">
        <w:rPr>
          <w:lang w:val="fr-CA"/>
        </w:rPr>
        <w:t> </w:t>
      </w:r>
      <w:r w:rsidR="00737355" w:rsidRPr="009C6CCF">
        <w:rPr>
          <w:lang w:val="fr-CA"/>
        </w:rPr>
        <w:t xml:space="preserve">véhicules </w:t>
      </w:r>
      <w:r w:rsidR="00B6055B" w:rsidRPr="009C6CCF">
        <w:rPr>
          <w:lang w:val="fr-CA"/>
        </w:rPr>
        <w:t xml:space="preserve">routiers </w:t>
      </w:r>
      <w:r w:rsidR="00737355" w:rsidRPr="009C6CCF">
        <w:rPr>
          <w:lang w:val="fr-CA"/>
        </w:rPr>
        <w:t>électriques.</w:t>
      </w:r>
    </w:p>
    <w:p w14:paraId="1ABE18C6" w14:textId="77777777" w:rsidR="00AB2512" w:rsidRDefault="00AB2512" w:rsidP="00AB2512">
      <w:pPr>
        <w:jc w:val="both"/>
        <w:rPr>
          <w:lang w:val="fr-CA"/>
        </w:rPr>
      </w:pPr>
    </w:p>
    <w:p w14:paraId="691D0019" w14:textId="77777777" w:rsidR="00AB2512" w:rsidRPr="009C6CCF" w:rsidRDefault="00AB2512" w:rsidP="00AB2512">
      <w:pPr>
        <w:pStyle w:val="Heading2"/>
        <w:jc w:val="both"/>
        <w:rPr>
          <w:rFonts w:ascii="Arial" w:hAnsi="Arial" w:cs="Arial"/>
          <w:lang w:val="fr-CA"/>
        </w:rPr>
      </w:pPr>
      <w:r w:rsidRPr="009C6CCF">
        <w:rPr>
          <w:rFonts w:ascii="Arial" w:hAnsi="Arial" w:cs="Arial"/>
          <w:lang w:val="fr-CA"/>
        </w:rPr>
        <w:lastRenderedPageBreak/>
        <w:t>Protéger les travailleuses et travailleurs forestiers et investir dans le secteur forestier canadien</w:t>
      </w:r>
    </w:p>
    <w:p w14:paraId="1899BD30" w14:textId="77777777" w:rsidR="00AB2512" w:rsidRPr="009C6CCF" w:rsidRDefault="00AB2512" w:rsidP="00AB2512">
      <w:pPr>
        <w:jc w:val="both"/>
        <w:rPr>
          <w:lang w:val="fr-CA"/>
        </w:rPr>
      </w:pPr>
      <w:r w:rsidRPr="009C6CCF">
        <w:rPr>
          <w:lang w:val="fr-CA"/>
        </w:rPr>
        <w:t>Les travailleuses et travailleurs forestiers vivent des perturbations sans précédent en raison des incendies de forêt, de l’accès incertain aux ressources, des fermetures d’usines, de la volatilité des prix des marchandises, du différend non résolu sur le bois d’œuvre et des répercussions à venir des mesures de protection de l’habitat faunique. Le gouvernement fédéral doit aider la main-d’œuvre à s’adapter à cet environnement difficile et à développer l’industrie pour qu’elle contribue à l’économie à faible émission de carbone du Canada.</w:t>
      </w:r>
    </w:p>
    <w:p w14:paraId="5CFBA8D0"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3D880D41" w14:textId="77777777" w:rsidR="00AB2512" w:rsidRPr="009C6CCF" w:rsidRDefault="00AB2512" w:rsidP="00AB2512">
      <w:pPr>
        <w:pStyle w:val="ListParagraph"/>
        <w:numPr>
          <w:ilvl w:val="0"/>
          <w:numId w:val="13"/>
        </w:numPr>
        <w:jc w:val="both"/>
        <w:rPr>
          <w:lang w:val="fr-CA"/>
        </w:rPr>
      </w:pPr>
      <w:proofErr w:type="gramStart"/>
      <w:r w:rsidRPr="009C6CCF">
        <w:rPr>
          <w:lang w:val="fr-CA"/>
        </w:rPr>
        <w:t>d’élaborer</w:t>
      </w:r>
      <w:proofErr w:type="gramEnd"/>
      <w:r w:rsidRPr="009C6CCF">
        <w:rPr>
          <w:lang w:val="fr-CA"/>
        </w:rPr>
        <w:t xml:space="preserve"> une stratégie industrielle globale axée sur la création d’un secteur forestier durable et à valeur ajoutée, et de créer un conseil multipartite du secteur forestier afin d’assurer le dialogue et les rajustements nécessaires;</w:t>
      </w:r>
    </w:p>
    <w:p w14:paraId="27713A5A" w14:textId="77777777" w:rsidR="00AB2512" w:rsidRPr="009C6CCF" w:rsidRDefault="00AB2512" w:rsidP="00AB2512">
      <w:pPr>
        <w:pStyle w:val="ListParagraph"/>
        <w:numPr>
          <w:ilvl w:val="0"/>
          <w:numId w:val="13"/>
        </w:numPr>
        <w:jc w:val="both"/>
        <w:rPr>
          <w:lang w:val="fr-CA"/>
        </w:rPr>
      </w:pPr>
      <w:proofErr w:type="gramStart"/>
      <w:r w:rsidRPr="009C6CCF">
        <w:rPr>
          <w:lang w:val="fr-CA"/>
        </w:rPr>
        <w:t>d’accroître</w:t>
      </w:r>
      <w:proofErr w:type="gramEnd"/>
      <w:r w:rsidRPr="009C6CCF">
        <w:rPr>
          <w:lang w:val="fr-CA"/>
        </w:rPr>
        <w:t xml:space="preserve"> le financement et les initiatives interministérielles coordonnées qui soutiennent la main-d’œuvre et les communautés forestières touchées;</w:t>
      </w:r>
    </w:p>
    <w:p w14:paraId="3DD849F7" w14:textId="77777777" w:rsidR="00AB2512" w:rsidRPr="009C6CCF" w:rsidRDefault="00AB2512" w:rsidP="00AB2512">
      <w:pPr>
        <w:pStyle w:val="ListParagraph"/>
        <w:numPr>
          <w:ilvl w:val="0"/>
          <w:numId w:val="13"/>
        </w:numPr>
        <w:jc w:val="both"/>
        <w:rPr>
          <w:lang w:val="fr-CA"/>
        </w:rPr>
      </w:pPr>
      <w:proofErr w:type="gramStart"/>
      <w:r w:rsidRPr="009C6CCF">
        <w:rPr>
          <w:lang w:val="fr-CA"/>
        </w:rPr>
        <w:t>d’augmenter</w:t>
      </w:r>
      <w:proofErr w:type="gramEnd"/>
      <w:r w:rsidRPr="009C6CCF">
        <w:rPr>
          <w:lang w:val="fr-CA"/>
        </w:rPr>
        <w:t xml:space="preserve"> les incitatifs pour faciliter la transition de l’industrie vers des pratiques durables et d’accélérer sa conversion vers une production diversifiée et à valeur ajoutée.</w:t>
      </w:r>
    </w:p>
    <w:p w14:paraId="37BDD90F" w14:textId="77777777" w:rsidR="00AB2512" w:rsidRPr="009C6CCF" w:rsidRDefault="00AB2512" w:rsidP="00AB2512">
      <w:pPr>
        <w:pStyle w:val="Heading2"/>
        <w:jc w:val="both"/>
        <w:rPr>
          <w:rFonts w:ascii="Arial" w:eastAsiaTheme="minorEastAsia" w:hAnsi="Arial" w:cs="Arial"/>
          <w:lang w:val="fr-CA"/>
        </w:rPr>
      </w:pPr>
      <w:r w:rsidRPr="009C6CCF">
        <w:rPr>
          <w:rFonts w:ascii="Arial" w:eastAsiaTheme="minorEastAsia" w:hAnsi="Arial" w:cs="Arial"/>
          <w:lang w:val="fr-CA"/>
        </w:rPr>
        <w:t>Investir dans les transports publics</w:t>
      </w:r>
    </w:p>
    <w:p w14:paraId="093CED05" w14:textId="77777777" w:rsidR="00AB2512" w:rsidRPr="009C6CCF" w:rsidRDefault="00AB2512" w:rsidP="00AB2512">
      <w:pPr>
        <w:jc w:val="both"/>
        <w:rPr>
          <w:rFonts w:eastAsia="Times New Roman"/>
          <w:color w:val="000000"/>
          <w:lang w:val="fr-CA"/>
        </w:rPr>
      </w:pPr>
      <w:r w:rsidRPr="009C6CCF">
        <w:rPr>
          <w:lang w:val="fr-CA"/>
        </w:rPr>
        <w:t>Une crise financière continue de sévir dans le secteur des transports publics locaux face à une population grandissante et à la transition nécessaire vers la décarbonisation. Le gouvernement fédéral doit contribuer aux coûts de transition et de mise à niveau des infrastructures.</w:t>
      </w:r>
    </w:p>
    <w:p w14:paraId="015D80C2"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40C89CBE" w14:textId="77777777" w:rsidR="00EC2895" w:rsidRPr="00EC2895" w:rsidRDefault="00EC2895" w:rsidP="00EC2895">
      <w:pPr>
        <w:pStyle w:val="ListParagraph"/>
        <w:numPr>
          <w:ilvl w:val="0"/>
          <w:numId w:val="16"/>
        </w:numPr>
        <w:rPr>
          <w:lang w:val="fr-CA"/>
        </w:rPr>
      </w:pPr>
      <w:proofErr w:type="gramStart"/>
      <w:r w:rsidRPr="00EC2895">
        <w:rPr>
          <w:lang w:val="fr-CA"/>
        </w:rPr>
        <w:t>d’engager</w:t>
      </w:r>
      <w:proofErr w:type="gramEnd"/>
      <w:r w:rsidRPr="00EC2895">
        <w:rPr>
          <w:lang w:val="fr-CA"/>
        </w:rPr>
        <w:t xml:space="preserve"> immédiatement le financement nécessaire pour le remplacement des wagons de métro de la ligne 2 de la Commission de transport de Toronto, notamment en exigeant des engagements quant au matériel fabriqué au Canada;</w:t>
      </w:r>
    </w:p>
    <w:p w14:paraId="7B213ED5" w14:textId="77777777" w:rsidR="00AB2512" w:rsidRPr="009C6CCF" w:rsidRDefault="00AB2512" w:rsidP="00AB2512">
      <w:pPr>
        <w:pStyle w:val="ListParagraph"/>
        <w:numPr>
          <w:ilvl w:val="0"/>
          <w:numId w:val="16"/>
        </w:numPr>
        <w:jc w:val="both"/>
        <w:rPr>
          <w:lang w:val="fr-CA"/>
        </w:rPr>
      </w:pPr>
      <w:proofErr w:type="gramStart"/>
      <w:r w:rsidRPr="009C6CCF">
        <w:rPr>
          <w:lang w:val="fr-CA"/>
        </w:rPr>
        <w:t>d’élargir</w:t>
      </w:r>
      <w:proofErr w:type="gramEnd"/>
      <w:r w:rsidRPr="009C6CCF">
        <w:rPr>
          <w:lang w:val="fr-CA"/>
        </w:rPr>
        <w:t xml:space="preserve"> le soutien des infrastructures pour s’assurer que les exploitants publics conservent la pleine propriété publique des transports en commun, et de s’assurer que les subventions aux infrastructures ciblent la maintenance différée et les améliorations planifiées;</w:t>
      </w:r>
    </w:p>
    <w:p w14:paraId="45745F99" w14:textId="77777777" w:rsidR="00AB2512" w:rsidRPr="009C6CCF" w:rsidRDefault="00AB2512" w:rsidP="00AB2512">
      <w:pPr>
        <w:pStyle w:val="ListParagraph"/>
        <w:numPr>
          <w:ilvl w:val="0"/>
          <w:numId w:val="16"/>
        </w:numPr>
        <w:jc w:val="both"/>
        <w:rPr>
          <w:lang w:val="fr-CA"/>
        </w:rPr>
      </w:pPr>
      <w:proofErr w:type="gramStart"/>
      <w:r w:rsidRPr="009C6CCF">
        <w:rPr>
          <w:lang w:val="fr-CA"/>
        </w:rPr>
        <w:t>de</w:t>
      </w:r>
      <w:proofErr w:type="gramEnd"/>
      <w:r w:rsidRPr="009C6CCF">
        <w:rPr>
          <w:lang w:val="fr-CA"/>
        </w:rPr>
        <w:t xml:space="preserve"> fournir un soutien financier direct aux petites municipalités pour les demandes de subventions et l’établissement de marchés publics;</w:t>
      </w:r>
    </w:p>
    <w:p w14:paraId="1C845D75" w14:textId="77777777" w:rsidR="00AB2512" w:rsidRPr="009C6CCF" w:rsidRDefault="00AB2512" w:rsidP="00AB2512">
      <w:pPr>
        <w:pStyle w:val="ListParagraph"/>
        <w:numPr>
          <w:ilvl w:val="0"/>
          <w:numId w:val="16"/>
        </w:numPr>
        <w:jc w:val="both"/>
        <w:rPr>
          <w:lang w:val="fr-CA"/>
        </w:rPr>
      </w:pPr>
      <w:proofErr w:type="gramStart"/>
      <w:r w:rsidRPr="009C6CCF">
        <w:rPr>
          <w:lang w:val="fr-CA"/>
        </w:rPr>
        <w:t>d’élaborer</w:t>
      </w:r>
      <w:proofErr w:type="gramEnd"/>
      <w:r w:rsidRPr="009C6CCF">
        <w:rPr>
          <w:lang w:val="fr-CA"/>
        </w:rPr>
        <w:t xml:space="preserve"> des processus d’approvisionnement dirigés par le gouvernement fédéral pour les véhicules de transport en commun afin de permettre aux organismes de transport en commun de tirer parti de l’approvisionnement collectif et de se concentrer sur la maximisation des avantages économiques des véhicules de transport en commun fabriqués au Canada.</w:t>
      </w:r>
    </w:p>
    <w:p w14:paraId="048FC522" w14:textId="77777777" w:rsidR="0006041D" w:rsidRPr="009C6CCF" w:rsidRDefault="0006041D" w:rsidP="0006041D">
      <w:pPr>
        <w:pStyle w:val="Heading2"/>
        <w:jc w:val="both"/>
        <w:rPr>
          <w:rFonts w:ascii="Arial" w:hAnsi="Arial" w:cs="Arial"/>
          <w:lang w:val="fr-CA"/>
        </w:rPr>
      </w:pPr>
      <w:r w:rsidRPr="009C6CCF">
        <w:rPr>
          <w:rFonts w:ascii="Arial" w:hAnsi="Arial" w:cs="Arial"/>
          <w:lang w:val="fr-CA"/>
        </w:rPr>
        <w:lastRenderedPageBreak/>
        <w:t>Assurer un accès équitable à Internet haute vitesse et à de bons emplois dans le secteur des télécommunications</w:t>
      </w:r>
    </w:p>
    <w:p w14:paraId="1A8A6705" w14:textId="77777777" w:rsidR="0006041D" w:rsidRPr="009C6CCF" w:rsidRDefault="0006041D" w:rsidP="0006041D">
      <w:pPr>
        <w:pStyle w:val="Heading1"/>
        <w:jc w:val="both"/>
        <w:rPr>
          <w:rFonts w:eastAsiaTheme="minorEastAsia"/>
          <w:color w:val="auto"/>
          <w:sz w:val="24"/>
          <w:szCs w:val="24"/>
          <w:lang w:val="fr-CA"/>
        </w:rPr>
      </w:pPr>
      <w:r w:rsidRPr="009C6CCF">
        <w:rPr>
          <w:rFonts w:eastAsia="Calibri" w:cs="Times New Roman"/>
          <w:color w:val="auto"/>
          <w:sz w:val="24"/>
          <w:szCs w:val="24"/>
          <w:lang w:val="fr-CA"/>
        </w:rPr>
        <w:t>Le service Internet haute vitesse est un service essentiel qui permet à la population de participer pleinement à la société et d’accéder aux services publics. Le financement public de l’infrastructure à haute vitesse a été attribué à divers fournisseurs de télécommunications, mais ces investissements n’ont pas été assortis d’exigences en matière d’emplois locaux de qualité ou de limites à la délocalisation et à la sous-traitance</w:t>
      </w:r>
      <w:r w:rsidRPr="009C6CCF">
        <w:rPr>
          <w:rFonts w:eastAsiaTheme="minorEastAsia"/>
          <w:color w:val="auto"/>
          <w:sz w:val="24"/>
          <w:szCs w:val="24"/>
          <w:lang w:val="fr-CA"/>
        </w:rPr>
        <w:t>.</w:t>
      </w:r>
    </w:p>
    <w:p w14:paraId="4A9EF119" w14:textId="77777777" w:rsidR="0006041D" w:rsidRPr="009C6CCF" w:rsidRDefault="0006041D" w:rsidP="0006041D">
      <w:pPr>
        <w:jc w:val="both"/>
        <w:rPr>
          <w:lang w:val="fr-CA"/>
        </w:rPr>
      </w:pPr>
      <w:r w:rsidRPr="009C6CCF">
        <w:rPr>
          <w:rFonts w:eastAsia="Times New Roman"/>
          <w:color w:val="000000"/>
          <w:lang w:val="fr-CA"/>
        </w:rPr>
        <w:t>Unifor recommande au gouvernement :</w:t>
      </w:r>
    </w:p>
    <w:p w14:paraId="4E943475" w14:textId="77777777" w:rsidR="0006041D" w:rsidRPr="009C6CCF" w:rsidRDefault="0006041D" w:rsidP="0006041D">
      <w:pPr>
        <w:pStyle w:val="Heading1"/>
        <w:numPr>
          <w:ilvl w:val="0"/>
          <w:numId w:val="17"/>
        </w:numPr>
        <w:spacing w:before="100" w:line="259" w:lineRule="auto"/>
        <w:ind w:left="714" w:hanging="357"/>
        <w:contextualSpacing/>
        <w:jc w:val="both"/>
        <w:rPr>
          <w:rFonts w:eastAsiaTheme="minorEastAsia"/>
          <w:color w:val="auto"/>
          <w:sz w:val="24"/>
          <w:szCs w:val="24"/>
          <w:lang w:val="fr-CA"/>
        </w:rPr>
      </w:pPr>
      <w:proofErr w:type="gramStart"/>
      <w:r w:rsidRPr="009C6CCF">
        <w:rPr>
          <w:color w:val="auto"/>
          <w:sz w:val="24"/>
          <w:szCs w:val="24"/>
          <w:lang w:val="fr-CA"/>
        </w:rPr>
        <w:t>de</w:t>
      </w:r>
      <w:proofErr w:type="gramEnd"/>
      <w:r w:rsidRPr="009C6CCF">
        <w:rPr>
          <w:color w:val="auto"/>
          <w:sz w:val="24"/>
          <w:szCs w:val="24"/>
          <w:lang w:val="fr-CA"/>
        </w:rPr>
        <w:t xml:space="preserve"> mettre en œuvre une législation exigeant que les entreprises de télécommunications recevant des fonds du gouvernement fédéral rendent compte publiquement de toutes les activités confiées en sous-traitance, tant à l’échelle nationale qu’à l’étranger</w:t>
      </w:r>
      <w:r w:rsidRPr="009C6CCF">
        <w:rPr>
          <w:rFonts w:eastAsiaTheme="minorEastAsia"/>
          <w:color w:val="auto"/>
          <w:sz w:val="24"/>
          <w:szCs w:val="24"/>
          <w:lang w:val="fr-CA"/>
        </w:rPr>
        <w:t>;</w:t>
      </w:r>
    </w:p>
    <w:p w14:paraId="26AD4752" w14:textId="77777777" w:rsidR="0006041D" w:rsidRPr="009C6CCF" w:rsidRDefault="0006041D" w:rsidP="0006041D">
      <w:pPr>
        <w:pStyle w:val="Heading1"/>
        <w:numPr>
          <w:ilvl w:val="0"/>
          <w:numId w:val="17"/>
        </w:numPr>
        <w:spacing w:before="0" w:beforeAutospacing="0" w:after="0" w:afterAutospacing="0"/>
        <w:ind w:left="714" w:hanging="357"/>
        <w:jc w:val="both"/>
        <w:rPr>
          <w:rFonts w:eastAsiaTheme="minorEastAsia"/>
          <w:color w:val="auto"/>
          <w:sz w:val="24"/>
          <w:szCs w:val="24"/>
          <w:lang w:val="fr-CA"/>
        </w:rPr>
      </w:pPr>
      <w:proofErr w:type="gramStart"/>
      <w:r w:rsidRPr="009C6CCF">
        <w:rPr>
          <w:rFonts w:eastAsiaTheme="minorEastAsia"/>
          <w:color w:val="auto"/>
          <w:sz w:val="24"/>
          <w:szCs w:val="24"/>
          <w:lang w:val="fr-CA"/>
        </w:rPr>
        <w:t>de</w:t>
      </w:r>
      <w:proofErr w:type="gramEnd"/>
      <w:r w:rsidRPr="009C6CCF">
        <w:rPr>
          <w:rFonts w:eastAsiaTheme="minorEastAsia"/>
          <w:color w:val="auto"/>
          <w:sz w:val="24"/>
          <w:szCs w:val="24"/>
          <w:lang w:val="fr-CA"/>
        </w:rPr>
        <w:t xml:space="preserve"> garantir l’accès universel à des plans de service Internet sans fil et à haute vitesse abordables. </w:t>
      </w:r>
    </w:p>
    <w:p w14:paraId="742E3907" w14:textId="77777777" w:rsidR="00AB2512" w:rsidRPr="009C6CCF" w:rsidRDefault="00AB2512" w:rsidP="00AB2512">
      <w:pPr>
        <w:pStyle w:val="Heading2"/>
        <w:jc w:val="both"/>
        <w:rPr>
          <w:rFonts w:ascii="Arial" w:eastAsiaTheme="minorEastAsia" w:hAnsi="Arial" w:cs="Arial"/>
          <w:lang w:val="fr-CA"/>
        </w:rPr>
      </w:pPr>
      <w:r w:rsidRPr="009C6CCF">
        <w:rPr>
          <w:rFonts w:ascii="Arial" w:eastAsiaTheme="minorEastAsia" w:hAnsi="Arial" w:cs="Arial"/>
          <w:lang w:val="fr-CA"/>
        </w:rPr>
        <w:t>Investir dans la sécurité ferroviaire et maintenir le caractère public de VIA Rail</w:t>
      </w:r>
    </w:p>
    <w:p w14:paraId="2C4EB1F0" w14:textId="77777777" w:rsidR="00AB2512" w:rsidRPr="009C6CCF" w:rsidRDefault="00AB2512" w:rsidP="00AB2512">
      <w:pPr>
        <w:jc w:val="both"/>
        <w:rPr>
          <w:lang w:val="fr-CA"/>
        </w:rPr>
      </w:pPr>
      <w:r w:rsidRPr="009C6CCF">
        <w:rPr>
          <w:lang w:val="fr-CA"/>
        </w:rPr>
        <w:t>En priorisant la réduction des coûts et les profits plutôt que la sécurité et la qualité du service, la vie des travailleuses et travailleurs et des usagers du transport ferroviaire au Canada est en danger. La privatisation de VIA Rail n’améliorera pas le transport ferroviaire. En privilégiant les technologies qui remplacent la main-d’œuvre plutôt que la sécurité, des blessures, des retards et des décès sont prévisibles.</w:t>
      </w:r>
    </w:p>
    <w:p w14:paraId="620D0958"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292C67E9" w14:textId="77777777" w:rsidR="00AB2512" w:rsidRPr="009C6CCF" w:rsidRDefault="00AB2512" w:rsidP="00AB2512">
      <w:pPr>
        <w:pStyle w:val="ListParagraph"/>
        <w:numPr>
          <w:ilvl w:val="0"/>
          <w:numId w:val="7"/>
        </w:numPr>
        <w:jc w:val="both"/>
        <w:rPr>
          <w:lang w:val="fr-CA"/>
        </w:rPr>
      </w:pPr>
      <w:proofErr w:type="gramStart"/>
      <w:r w:rsidRPr="009C6CCF">
        <w:rPr>
          <w:lang w:val="fr-CA"/>
        </w:rPr>
        <w:t>de</w:t>
      </w:r>
      <w:proofErr w:type="gramEnd"/>
      <w:r w:rsidRPr="009C6CCF">
        <w:rPr>
          <w:lang w:val="fr-CA"/>
        </w:rPr>
        <w:t xml:space="preserve"> mettre sur pied un groupe de travail fédéral comprenant des syndicats afin d’élaborer des règlements pour orienter les transitions technologiques rapides de l’industrie, en veillant à ce que la technologie bonifie l’emploi plutôt que d’essayer de remplacer la main-d’œuvre;</w:t>
      </w:r>
    </w:p>
    <w:p w14:paraId="279B218C" w14:textId="77777777" w:rsidR="00AB2512" w:rsidRPr="009C6CCF" w:rsidRDefault="00AB2512" w:rsidP="00AB2512">
      <w:pPr>
        <w:pStyle w:val="ListParagraph"/>
        <w:numPr>
          <w:ilvl w:val="0"/>
          <w:numId w:val="7"/>
        </w:numPr>
        <w:jc w:val="both"/>
        <w:rPr>
          <w:lang w:val="fr-CA"/>
        </w:rPr>
      </w:pPr>
      <w:proofErr w:type="gramStart"/>
      <w:r w:rsidRPr="009C6CCF">
        <w:rPr>
          <w:lang w:val="fr-CA"/>
        </w:rPr>
        <w:t>de</w:t>
      </w:r>
      <w:proofErr w:type="gramEnd"/>
      <w:r w:rsidRPr="009C6CCF">
        <w:rPr>
          <w:lang w:val="fr-CA"/>
        </w:rPr>
        <w:t xml:space="preserve"> financer l’application de ces règlements;</w:t>
      </w:r>
    </w:p>
    <w:p w14:paraId="0562D1C7" w14:textId="77777777" w:rsidR="00AB2512" w:rsidRPr="009C6CCF" w:rsidRDefault="00AB2512" w:rsidP="00AB2512">
      <w:pPr>
        <w:pStyle w:val="ListParagraph"/>
        <w:numPr>
          <w:ilvl w:val="0"/>
          <w:numId w:val="7"/>
        </w:numPr>
        <w:jc w:val="both"/>
        <w:rPr>
          <w:lang w:val="fr-CA"/>
        </w:rPr>
      </w:pPr>
      <w:proofErr w:type="gramStart"/>
      <w:r w:rsidRPr="009C6CCF">
        <w:rPr>
          <w:lang w:val="fr-CA"/>
        </w:rPr>
        <w:t>d’élaborer</w:t>
      </w:r>
      <w:proofErr w:type="gramEnd"/>
      <w:r w:rsidRPr="009C6CCF">
        <w:rPr>
          <w:lang w:val="fr-CA"/>
        </w:rPr>
        <w:t xml:space="preserve"> un programme de financement complet pour VIA Rail afin de soutenir l’expansion des services ferroviaires publics de passagers au Canada, détenus et exploités par des entités publiques et régis par une loi sur VIA Rail.</w:t>
      </w:r>
    </w:p>
    <w:p w14:paraId="23E9B36C" w14:textId="4AFE0A47" w:rsidR="00FB1B80" w:rsidRPr="009C6CCF" w:rsidRDefault="00FB1B80" w:rsidP="00621225">
      <w:pPr>
        <w:pStyle w:val="Heading2"/>
        <w:jc w:val="both"/>
        <w:rPr>
          <w:rFonts w:ascii="Arial" w:hAnsi="Arial" w:cs="Arial"/>
          <w:lang w:val="fr-CA"/>
        </w:rPr>
      </w:pPr>
      <w:r w:rsidRPr="009C6CCF">
        <w:rPr>
          <w:rFonts w:ascii="Arial" w:hAnsi="Arial" w:cs="Arial"/>
          <w:lang w:val="fr-CA"/>
        </w:rPr>
        <w:t>Stabili</w:t>
      </w:r>
      <w:r w:rsidR="00621391" w:rsidRPr="009C6CCF">
        <w:rPr>
          <w:rFonts w:ascii="Arial" w:hAnsi="Arial" w:cs="Arial"/>
          <w:lang w:val="fr-CA"/>
        </w:rPr>
        <w:t>ser le transport aérien</w:t>
      </w:r>
      <w:r w:rsidRPr="009C6CCF">
        <w:rPr>
          <w:rFonts w:ascii="Arial" w:hAnsi="Arial" w:cs="Arial"/>
          <w:lang w:val="fr-CA"/>
        </w:rPr>
        <w:t xml:space="preserve"> </w:t>
      </w:r>
    </w:p>
    <w:p w14:paraId="644C3ADD" w14:textId="7F4695DA" w:rsidR="00F16A0A" w:rsidRPr="009C6CCF" w:rsidRDefault="00F16A0A" w:rsidP="00621225">
      <w:pPr>
        <w:jc w:val="both"/>
        <w:rPr>
          <w:lang w:val="fr-CA"/>
        </w:rPr>
      </w:pPr>
      <w:r w:rsidRPr="009C6CCF">
        <w:rPr>
          <w:lang w:val="fr-CA"/>
        </w:rPr>
        <w:t>Le système de transport aérien du Canada a connu un chaos opérationnel au cours des dernières années.</w:t>
      </w:r>
      <w:r w:rsidR="00D81B8C" w:rsidRPr="009C6CCF">
        <w:rPr>
          <w:lang w:val="fr-CA"/>
        </w:rPr>
        <w:t xml:space="preserve"> Le personnel et les voyageurs méritent mieux. L’amélioration des conditions de voyage passe par une amélioration significative des conditions de travail.</w:t>
      </w:r>
    </w:p>
    <w:p w14:paraId="194D9D6A"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645F8EB0" w14:textId="358E841D" w:rsidR="00FB1B80" w:rsidRPr="009C6CCF" w:rsidRDefault="00DB3E32" w:rsidP="00DB3E32">
      <w:pPr>
        <w:pStyle w:val="ListParagraph"/>
        <w:numPr>
          <w:ilvl w:val="0"/>
          <w:numId w:val="11"/>
        </w:numPr>
        <w:jc w:val="both"/>
        <w:rPr>
          <w:lang w:val="fr-CA"/>
        </w:rPr>
      </w:pPr>
      <w:r w:rsidRPr="009C6CCF">
        <w:rPr>
          <w:lang w:val="fr-CA"/>
        </w:rPr>
        <w:t>d’exiger des autorités aéroportuaires, en collaboration avec les syndicats, qu’elles établissent un « salaire de subsistance » comme plancher de revenu pour tous les travailleurs et travailleuses des aéroports;</w:t>
      </w:r>
    </w:p>
    <w:p w14:paraId="3B150598" w14:textId="09AD5436" w:rsidR="00DB3E32" w:rsidRPr="009C6CCF" w:rsidRDefault="00DB3E32" w:rsidP="00DB3E32">
      <w:pPr>
        <w:pStyle w:val="ListParagraph"/>
        <w:numPr>
          <w:ilvl w:val="0"/>
          <w:numId w:val="11"/>
        </w:numPr>
        <w:jc w:val="both"/>
        <w:rPr>
          <w:lang w:val="fr-CA"/>
        </w:rPr>
      </w:pPr>
      <w:r w:rsidRPr="009C6CCF">
        <w:rPr>
          <w:lang w:val="fr-CA"/>
        </w:rPr>
        <w:lastRenderedPageBreak/>
        <w:t>de s’attaquer à l’escalade du harcèlement et de la violence dont sont victimes les travailleuses et travailleurs de première ligne en adoptant des règlements, des protocoles et des procédures ciblés;</w:t>
      </w:r>
    </w:p>
    <w:p w14:paraId="4581AA61" w14:textId="4F3530FB" w:rsidR="00DB3E32" w:rsidRPr="009C6CCF" w:rsidRDefault="00DB3E32" w:rsidP="00DB3E32">
      <w:pPr>
        <w:pStyle w:val="ListParagraph"/>
        <w:numPr>
          <w:ilvl w:val="0"/>
          <w:numId w:val="11"/>
        </w:numPr>
        <w:jc w:val="both"/>
        <w:rPr>
          <w:lang w:val="fr-CA"/>
        </w:rPr>
      </w:pPr>
      <w:r w:rsidRPr="009C6CCF">
        <w:rPr>
          <w:lang w:val="fr-CA"/>
        </w:rPr>
        <w:t>d’interdire explicitement la quête de rentabilisation des aéroports canadiens.</w:t>
      </w:r>
    </w:p>
    <w:p w14:paraId="428E5FC2" w14:textId="412F2CC8" w:rsidR="00314E3F" w:rsidRPr="009C6CCF" w:rsidRDefault="004051B2" w:rsidP="00621225">
      <w:pPr>
        <w:pStyle w:val="Heading2"/>
        <w:jc w:val="both"/>
        <w:rPr>
          <w:rFonts w:ascii="Arial" w:hAnsi="Arial" w:cs="Arial"/>
          <w:lang w:val="fr-CA"/>
        </w:rPr>
      </w:pPr>
      <w:r w:rsidRPr="009C6CCF">
        <w:rPr>
          <w:rFonts w:ascii="Arial" w:hAnsi="Arial" w:cs="Arial"/>
          <w:lang w:val="fr-CA"/>
        </w:rPr>
        <w:t xml:space="preserve">Soutenir une politique </w:t>
      </w:r>
      <w:r w:rsidR="00314E3F" w:rsidRPr="009C6CCF">
        <w:rPr>
          <w:rFonts w:ascii="Arial" w:hAnsi="Arial" w:cs="Arial"/>
          <w:lang w:val="fr-CA"/>
        </w:rPr>
        <w:t>énergétique relative au contenu canadien</w:t>
      </w:r>
    </w:p>
    <w:p w14:paraId="2B84E29E" w14:textId="44C7521B" w:rsidR="00314E3F" w:rsidRPr="009C6CCF" w:rsidRDefault="004051B2" w:rsidP="00AB2512">
      <w:pPr>
        <w:jc w:val="both"/>
        <w:rPr>
          <w:rFonts w:eastAsia="Times New Roman"/>
          <w:color w:val="000000"/>
          <w:lang w:val="fr-CA"/>
        </w:rPr>
      </w:pPr>
      <w:r w:rsidRPr="009C6CCF">
        <w:rPr>
          <w:lang w:val="fr-CA"/>
        </w:rPr>
        <w:t xml:space="preserve">Le gouvernement fédéral </w:t>
      </w:r>
      <w:r w:rsidR="00DB1FA5" w:rsidRPr="009C6CCF">
        <w:rPr>
          <w:lang w:val="fr-CA"/>
        </w:rPr>
        <w:t>a besoin d’une politique d’investissement dans le secteur de l’énergie qui soutient les solutions énergétiques conçues au Canada pour l’économie et le climat uniques du Canada.</w:t>
      </w:r>
    </w:p>
    <w:p w14:paraId="519CBC0E" w14:textId="49D5D623" w:rsidR="005379E1" w:rsidRPr="009C6CCF" w:rsidRDefault="005379E1" w:rsidP="005379E1">
      <w:pPr>
        <w:jc w:val="both"/>
        <w:rPr>
          <w:lang w:val="fr-CA"/>
        </w:rPr>
      </w:pPr>
      <w:r w:rsidRPr="009C6CCF">
        <w:rPr>
          <w:rFonts w:eastAsia="Times New Roman"/>
          <w:color w:val="000000"/>
          <w:lang w:val="fr-CA"/>
        </w:rPr>
        <w:t>Unifor recommande au gouvernement :</w:t>
      </w:r>
    </w:p>
    <w:p w14:paraId="6BEF3581" w14:textId="5B630F24" w:rsidR="009A4FD3" w:rsidRPr="009C6CCF" w:rsidRDefault="009A4FD3" w:rsidP="00621225">
      <w:pPr>
        <w:pStyle w:val="ListParagraph"/>
        <w:numPr>
          <w:ilvl w:val="0"/>
          <w:numId w:val="12"/>
        </w:numPr>
        <w:jc w:val="both"/>
        <w:rPr>
          <w:lang w:val="fr-CA"/>
        </w:rPr>
      </w:pPr>
      <w:r w:rsidRPr="009C6CCF">
        <w:rPr>
          <w:lang w:val="fr-CA"/>
        </w:rPr>
        <w:t>de réduire les émissions qui alimentent le changement climatique et sont nocives pour la santé humaine en encourageant l’entretien et la modernisation des infrastructures afin de réduire les fuites de méthane et d’autres émissions dans les chaînes d’approvisionnement de pétrole, de gaz et de produits chimiques, et en poursuivant les investissements dans les technologies de captage et de stockage du carbone afin d’atténuer les émissions provenant des infrastructures existantes;</w:t>
      </w:r>
    </w:p>
    <w:p w14:paraId="49D8F5D7" w14:textId="2882D7B6" w:rsidR="003B0873" w:rsidRPr="009C6CCF" w:rsidRDefault="009A4FD3" w:rsidP="007F2CAF">
      <w:pPr>
        <w:pStyle w:val="ListParagraph"/>
        <w:numPr>
          <w:ilvl w:val="0"/>
          <w:numId w:val="12"/>
        </w:numPr>
        <w:jc w:val="both"/>
        <w:rPr>
          <w:lang w:val="fr-CA"/>
        </w:rPr>
      </w:pPr>
      <w:r w:rsidRPr="009C6CCF">
        <w:rPr>
          <w:lang w:val="fr-CA"/>
        </w:rPr>
        <w:t>d’accroître l’investissement fédéral et public dans les énergies à faible teneur en carbone pour :</w:t>
      </w:r>
      <w:r w:rsidR="003B0873" w:rsidRPr="009C6CCF">
        <w:rPr>
          <w:lang w:val="fr-CA"/>
        </w:rPr>
        <w:t xml:space="preserve"> </w:t>
      </w:r>
    </w:p>
    <w:p w14:paraId="1B700EB2" w14:textId="16D34F51" w:rsidR="00E7356B" w:rsidRPr="009C6CCF" w:rsidRDefault="009A4FD3" w:rsidP="009A4FD3">
      <w:pPr>
        <w:pStyle w:val="ListParagraph"/>
        <w:numPr>
          <w:ilvl w:val="1"/>
          <w:numId w:val="12"/>
        </w:numPr>
        <w:jc w:val="both"/>
        <w:rPr>
          <w:lang w:val="fr-CA"/>
        </w:rPr>
      </w:pPr>
      <w:r w:rsidRPr="009C6CCF">
        <w:rPr>
          <w:lang w:val="fr-CA"/>
        </w:rPr>
        <w:t>mettre en place une chaîne d’approvisionnement nucléaire sécuritaire à l’échelle nationale, en veillant à ce que toute nouvelle production d’énergie nucléaire utilise des technologies et des matériaux canadiens et crée des emplois au Canada dans les domaines de la technique, de la surveillance, du développement et de la sécurité;</w:t>
      </w:r>
    </w:p>
    <w:p w14:paraId="3F7DC3AA" w14:textId="4C413485" w:rsidR="009A4FD3" w:rsidRPr="009C6CCF" w:rsidRDefault="00671B34" w:rsidP="009A4FD3">
      <w:pPr>
        <w:pStyle w:val="ListParagraph"/>
        <w:numPr>
          <w:ilvl w:val="1"/>
          <w:numId w:val="12"/>
        </w:numPr>
        <w:jc w:val="both"/>
        <w:rPr>
          <w:lang w:val="fr-CA"/>
        </w:rPr>
      </w:pPr>
      <w:r w:rsidRPr="009C6CCF">
        <w:rPr>
          <w:lang w:val="fr-CA"/>
        </w:rPr>
        <w:t>établir</w:t>
      </w:r>
      <w:r w:rsidR="009A4FD3" w:rsidRPr="009C6CCF">
        <w:rPr>
          <w:lang w:val="fr-CA"/>
        </w:rPr>
        <w:t xml:space="preserve"> de nouveaux partenariats entre les conseils de recherche industrielle canadiens et l’industrie </w:t>
      </w:r>
      <w:r w:rsidR="00B96252" w:rsidRPr="009C6CCF">
        <w:rPr>
          <w:lang w:val="fr-CA"/>
        </w:rPr>
        <w:t>en vue de</w:t>
      </w:r>
      <w:r w:rsidR="009A4FD3" w:rsidRPr="009C6CCF">
        <w:rPr>
          <w:lang w:val="fr-CA"/>
        </w:rPr>
        <w:t xml:space="preserve"> créer des emplois dans des projets chimiques et gaziers, notamment dans les domaines de l’hydrogène, de l’ammoniac, des biocarburants et de la production de matières plastiques à l’aide de procédés à faible teneur en carbone. </w:t>
      </w:r>
    </w:p>
    <w:p w14:paraId="4E017289" w14:textId="1F41AB3F" w:rsidR="00946E2A" w:rsidRPr="009C6CCF" w:rsidRDefault="00946E2A" w:rsidP="00621225">
      <w:pPr>
        <w:pStyle w:val="Heading2"/>
        <w:jc w:val="both"/>
        <w:rPr>
          <w:rFonts w:ascii="Arial" w:hAnsi="Arial" w:cs="Arial"/>
          <w:lang w:val="fr-CA"/>
        </w:rPr>
      </w:pPr>
      <w:r w:rsidRPr="009C6CCF">
        <w:rPr>
          <w:rFonts w:ascii="Arial" w:hAnsi="Arial" w:cs="Arial"/>
          <w:lang w:val="fr-CA"/>
        </w:rPr>
        <w:t>Éliminer l’échappatoire fiscale en matière de publicité et protéger les journalistes contre le harcèlement</w:t>
      </w:r>
    </w:p>
    <w:p w14:paraId="1E317080" w14:textId="780203C1" w:rsidR="00212E7F" w:rsidRPr="009C6CCF" w:rsidRDefault="00BA03FE" w:rsidP="00621225">
      <w:pPr>
        <w:jc w:val="both"/>
        <w:rPr>
          <w:lang w:val="fr-CA"/>
        </w:rPr>
      </w:pPr>
      <w:r w:rsidRPr="009C6CCF">
        <w:rPr>
          <w:lang w:val="fr-CA"/>
        </w:rPr>
        <w:t xml:space="preserve">Unifor </w:t>
      </w:r>
      <w:r w:rsidR="00212E7F" w:rsidRPr="009C6CCF">
        <w:rPr>
          <w:lang w:val="fr-CA"/>
        </w:rPr>
        <w:t xml:space="preserve">salue les récents efforts du gouvernement fédéral pour résoudre la crise dans le secteur des médias au Canada, mais il </w:t>
      </w:r>
      <w:r w:rsidR="00DC6048" w:rsidRPr="009C6CCF">
        <w:rPr>
          <w:lang w:val="fr-CA"/>
        </w:rPr>
        <w:t xml:space="preserve">doit </w:t>
      </w:r>
      <w:r w:rsidR="00212E7F" w:rsidRPr="009C6CCF">
        <w:rPr>
          <w:lang w:val="fr-CA"/>
        </w:rPr>
        <w:t>en faire davantage pour soutenir les travailleuses et travailleurs des médias et accroître l’accès aux nouvelles locales.</w:t>
      </w:r>
    </w:p>
    <w:p w14:paraId="37E9EA50"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48FF8BD2" w14:textId="2155EDD3" w:rsidR="002C6847" w:rsidRPr="009C6CCF" w:rsidRDefault="00987FF3" w:rsidP="00621225">
      <w:pPr>
        <w:pStyle w:val="ListParagraph"/>
        <w:numPr>
          <w:ilvl w:val="0"/>
          <w:numId w:val="14"/>
        </w:numPr>
        <w:jc w:val="both"/>
        <w:rPr>
          <w:lang w:val="fr-CA"/>
        </w:rPr>
      </w:pPr>
      <w:r w:rsidRPr="009C6CCF">
        <w:rPr>
          <w:lang w:val="fr-CA"/>
        </w:rPr>
        <w:t xml:space="preserve">de </w:t>
      </w:r>
      <w:r w:rsidR="002C6847" w:rsidRPr="009C6CCF">
        <w:rPr>
          <w:lang w:val="fr-CA"/>
        </w:rPr>
        <w:t xml:space="preserve">légaliser et </w:t>
      </w:r>
      <w:r w:rsidRPr="009C6CCF">
        <w:rPr>
          <w:lang w:val="fr-CA"/>
        </w:rPr>
        <w:t>d’</w:t>
      </w:r>
      <w:r w:rsidR="002C6847" w:rsidRPr="009C6CCF">
        <w:rPr>
          <w:lang w:val="fr-CA"/>
        </w:rPr>
        <w:t>encourager les dotations philanthropiques en journalisme à tout organisme de presse qualifié;</w:t>
      </w:r>
    </w:p>
    <w:p w14:paraId="4F8EC2CB" w14:textId="6D218E61" w:rsidR="00EE1D56" w:rsidRPr="009C6CCF" w:rsidRDefault="00987FF3" w:rsidP="00621225">
      <w:pPr>
        <w:pStyle w:val="ListParagraph"/>
        <w:numPr>
          <w:ilvl w:val="0"/>
          <w:numId w:val="14"/>
        </w:numPr>
        <w:jc w:val="both"/>
        <w:rPr>
          <w:lang w:val="fr-CA"/>
        </w:rPr>
      </w:pPr>
      <w:r w:rsidRPr="009C6CCF">
        <w:rPr>
          <w:lang w:val="fr-CA"/>
        </w:rPr>
        <w:t>d’</w:t>
      </w:r>
      <w:r w:rsidR="00EE1D56" w:rsidRPr="009C6CCF">
        <w:rPr>
          <w:lang w:val="fr-CA"/>
        </w:rPr>
        <w:t>explorer les options pour permettre aux coopératives de presse d’employés ou de citoyens d’opérer en tant qu’organismes sans but lucratif;</w:t>
      </w:r>
    </w:p>
    <w:p w14:paraId="31A76643" w14:textId="05D528E3" w:rsidR="00E06D54" w:rsidRPr="009C6CCF" w:rsidRDefault="00987FF3" w:rsidP="00621225">
      <w:pPr>
        <w:pStyle w:val="ListParagraph"/>
        <w:numPr>
          <w:ilvl w:val="0"/>
          <w:numId w:val="14"/>
        </w:numPr>
        <w:jc w:val="both"/>
        <w:rPr>
          <w:lang w:val="fr-CA"/>
        </w:rPr>
      </w:pPr>
      <w:r w:rsidRPr="009C6CCF">
        <w:rPr>
          <w:lang w:val="fr-CA"/>
        </w:rPr>
        <w:lastRenderedPageBreak/>
        <w:t>d’</w:t>
      </w:r>
      <w:r w:rsidR="00E06D54" w:rsidRPr="009C6CCF">
        <w:rPr>
          <w:lang w:val="fr-CA"/>
        </w:rPr>
        <w:t xml:space="preserve">éliminer l’échappatoire fiscale en matière de publicité en procédant à une réforme de l’article 19 de la </w:t>
      </w:r>
      <w:r w:rsidR="00E06D54" w:rsidRPr="009C6CCF">
        <w:rPr>
          <w:i/>
          <w:iCs/>
          <w:lang w:val="fr-CA"/>
        </w:rPr>
        <w:t>Loi de l’impôt sur le revenu</w:t>
      </w:r>
      <w:r w:rsidR="00E06D54" w:rsidRPr="009C6CCF">
        <w:rPr>
          <w:lang w:val="fr-CA"/>
        </w:rPr>
        <w:t xml:space="preserve"> afin d’étendre les règles limitant la déductibilité fiscale des dépenses publicitaires aux médias étrangers en ligne;</w:t>
      </w:r>
    </w:p>
    <w:p w14:paraId="501A1774" w14:textId="10F9903B" w:rsidR="00B644D2" w:rsidRPr="009C6CCF" w:rsidRDefault="00987FF3" w:rsidP="00621225">
      <w:pPr>
        <w:pStyle w:val="ListParagraph"/>
        <w:numPr>
          <w:ilvl w:val="0"/>
          <w:numId w:val="14"/>
        </w:numPr>
        <w:jc w:val="both"/>
        <w:rPr>
          <w:lang w:val="fr-CA"/>
        </w:rPr>
      </w:pPr>
      <w:r w:rsidRPr="009C6CCF">
        <w:rPr>
          <w:lang w:val="fr-CA"/>
        </w:rPr>
        <w:t>d’</w:t>
      </w:r>
      <w:r w:rsidR="00B644D2" w:rsidRPr="009C6CCF">
        <w:rPr>
          <w:lang w:val="fr-CA"/>
        </w:rPr>
        <w:t>adopter des lois, des règlements et des politiques visant à mieux protéger les journalistes contre le harcèlement et les abus.</w:t>
      </w:r>
    </w:p>
    <w:p w14:paraId="6270B2A8" w14:textId="4CB68B16" w:rsidR="00BA03FE" w:rsidRPr="009C6CCF" w:rsidRDefault="009325A1" w:rsidP="00621225">
      <w:pPr>
        <w:pStyle w:val="Heading2"/>
        <w:jc w:val="both"/>
        <w:rPr>
          <w:rFonts w:ascii="Arial" w:hAnsi="Arial" w:cs="Arial"/>
          <w:lang w:val="fr-CA"/>
        </w:rPr>
      </w:pPr>
      <w:r w:rsidRPr="009C6CCF">
        <w:rPr>
          <w:rFonts w:ascii="Arial" w:hAnsi="Arial" w:cs="Arial"/>
          <w:lang w:val="fr-CA"/>
        </w:rPr>
        <w:t>Développer l’industrie minière canadienne</w:t>
      </w:r>
    </w:p>
    <w:p w14:paraId="375EBB63" w14:textId="50FF7182" w:rsidR="005F2A19" w:rsidRPr="009C6CCF" w:rsidRDefault="005F2A19" w:rsidP="00621225">
      <w:pPr>
        <w:jc w:val="both"/>
        <w:rPr>
          <w:lang w:val="fr-CA"/>
        </w:rPr>
      </w:pPr>
      <w:r w:rsidRPr="009C6CCF">
        <w:rPr>
          <w:lang w:val="fr-CA"/>
        </w:rPr>
        <w:t xml:space="preserve">Il est nécessaire de développer l’industrie minière canadienne pour soutenir le développement de produits énergétiques propres, notamment la chaîne d’approvisionnement nationale en batteries pour véhicules électriques, et créer de nouveaux emplois. Le gouvernement doit </w:t>
      </w:r>
      <w:r w:rsidR="003B216A" w:rsidRPr="009C6CCF">
        <w:rPr>
          <w:lang w:val="fr-CA"/>
        </w:rPr>
        <w:t>s’assurer</w:t>
      </w:r>
      <w:r w:rsidRPr="009C6CCF">
        <w:rPr>
          <w:lang w:val="fr-CA"/>
        </w:rPr>
        <w:t xml:space="preserve"> que la demande croissante pour les ressources naturelles du Canada </w:t>
      </w:r>
      <w:r w:rsidR="003B216A" w:rsidRPr="009C6CCF">
        <w:rPr>
          <w:lang w:val="fr-CA"/>
        </w:rPr>
        <w:t xml:space="preserve">est </w:t>
      </w:r>
      <w:r w:rsidRPr="009C6CCF">
        <w:rPr>
          <w:lang w:val="fr-CA"/>
        </w:rPr>
        <w:t>satisfaite, respecte des normes de durabilité rigoureuses et est coordonnée avec les Premières Nations, les Métis et les Inuits du Canada.</w:t>
      </w:r>
    </w:p>
    <w:p w14:paraId="23CEC533"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6EB648AC" w14:textId="5142C781" w:rsidR="0034639E" w:rsidRPr="009C6CCF" w:rsidRDefault="002B1D46" w:rsidP="00621225">
      <w:pPr>
        <w:pStyle w:val="ListParagraph"/>
        <w:numPr>
          <w:ilvl w:val="0"/>
          <w:numId w:val="15"/>
        </w:numPr>
        <w:jc w:val="both"/>
        <w:rPr>
          <w:lang w:val="fr-CA"/>
        </w:rPr>
      </w:pPr>
      <w:r w:rsidRPr="009C6CCF">
        <w:rPr>
          <w:lang w:val="fr-CA"/>
        </w:rPr>
        <w:t>de financer l’adoption de sources d’énergie renouvelable pour les mines hors réseau, tout en soutenant la recherche et le développement de sources de carburant de remplacement;</w:t>
      </w:r>
    </w:p>
    <w:p w14:paraId="0DAF5CA8" w14:textId="309DD5CB" w:rsidR="002B1D46" w:rsidRPr="009C6CCF" w:rsidRDefault="002B1D46" w:rsidP="00621225">
      <w:pPr>
        <w:pStyle w:val="ListParagraph"/>
        <w:numPr>
          <w:ilvl w:val="0"/>
          <w:numId w:val="15"/>
        </w:numPr>
        <w:jc w:val="both"/>
        <w:rPr>
          <w:lang w:val="fr-CA"/>
        </w:rPr>
      </w:pPr>
      <w:r w:rsidRPr="009C6CCF">
        <w:rPr>
          <w:lang w:val="fr-CA"/>
        </w:rPr>
        <w:t>de combler les lacunes en matière d’infrastructures essentielles, comme le transport et l’approvisionnement énergétique, afin de soutenir la production durable de minéraux critiques;</w:t>
      </w:r>
    </w:p>
    <w:p w14:paraId="000ABF6A" w14:textId="07B86F39" w:rsidR="002B1D46" w:rsidRPr="009C6CCF" w:rsidRDefault="002B1D46" w:rsidP="00621225">
      <w:pPr>
        <w:pStyle w:val="ListParagraph"/>
        <w:numPr>
          <w:ilvl w:val="0"/>
          <w:numId w:val="15"/>
        </w:numPr>
        <w:jc w:val="both"/>
        <w:rPr>
          <w:lang w:val="fr-CA"/>
        </w:rPr>
      </w:pPr>
      <w:r w:rsidRPr="009C6CCF">
        <w:rPr>
          <w:lang w:val="fr-CA"/>
        </w:rPr>
        <w:t>de moderniser les processus réglementaires afin de réduire les retards inutiles dans l’approbation des projets et de soutenir les projets clés.</w:t>
      </w:r>
    </w:p>
    <w:p w14:paraId="32A8D5A8" w14:textId="1EEDC2F6" w:rsidR="00321B7B" w:rsidRPr="009C6CCF" w:rsidRDefault="00B15FA1" w:rsidP="00621225">
      <w:pPr>
        <w:pStyle w:val="Heading2"/>
        <w:jc w:val="both"/>
        <w:rPr>
          <w:rFonts w:ascii="Arial" w:eastAsiaTheme="minorEastAsia" w:hAnsi="Arial" w:cs="Arial"/>
          <w:lang w:val="fr-CA"/>
        </w:rPr>
      </w:pPr>
      <w:r w:rsidRPr="009C6CCF">
        <w:rPr>
          <w:rFonts w:ascii="Arial" w:eastAsiaTheme="minorEastAsia" w:hAnsi="Arial" w:cs="Arial"/>
          <w:lang w:val="fr-CA"/>
        </w:rPr>
        <w:t>Améliorer les normes dans le secteur du transport routier</w:t>
      </w:r>
    </w:p>
    <w:p w14:paraId="77A5A146" w14:textId="32559E18" w:rsidR="00532A89" w:rsidRPr="009C6CCF" w:rsidRDefault="00532A89" w:rsidP="00532A89">
      <w:pPr>
        <w:jc w:val="both"/>
        <w:rPr>
          <w:lang w:val="fr-CA"/>
        </w:rPr>
      </w:pPr>
      <w:r w:rsidRPr="009C6CCF">
        <w:rPr>
          <w:lang w:val="fr-CA"/>
        </w:rPr>
        <w:t>Les travailleuses et travailleurs du secteur du transport routier, notamment les chauffeuses et chauffeurs de camion, de taxi, de covoiturage et de livraison ainsi que les professionnels de la logistique, ont besoin de lois du travail et de normes d’emploi justes et équitables.</w:t>
      </w:r>
      <w:r w:rsidR="00014F06" w:rsidRPr="009C6CCF">
        <w:rPr>
          <w:lang w:val="fr-CA"/>
        </w:rPr>
        <w:t xml:space="preserve"> </w:t>
      </w:r>
      <w:r w:rsidRPr="009C6CCF">
        <w:rPr>
          <w:lang w:val="fr-CA"/>
        </w:rPr>
        <w:t>L’accès à des services sûrs et propres, comme des toilettes, est important pour la santé et la sécurité des conductrices et conducteurs.</w:t>
      </w:r>
    </w:p>
    <w:p w14:paraId="59AA8AC8" w14:textId="3752FCA4" w:rsidR="005379E1" w:rsidRPr="009C6CCF" w:rsidRDefault="005379E1" w:rsidP="005379E1">
      <w:pPr>
        <w:jc w:val="both"/>
        <w:rPr>
          <w:lang w:val="fr-CA"/>
        </w:rPr>
      </w:pPr>
      <w:r w:rsidRPr="009C6CCF">
        <w:rPr>
          <w:rFonts w:eastAsia="Times New Roman"/>
          <w:color w:val="000000"/>
          <w:lang w:val="fr-CA"/>
        </w:rPr>
        <w:t>Unifor recommande au gouvernement :</w:t>
      </w:r>
    </w:p>
    <w:p w14:paraId="300067AE" w14:textId="60DEF8EE" w:rsidR="0075169C" w:rsidRPr="009C6CCF" w:rsidRDefault="0075169C" w:rsidP="00621225">
      <w:pPr>
        <w:pStyle w:val="ListParagraph"/>
        <w:numPr>
          <w:ilvl w:val="0"/>
          <w:numId w:val="7"/>
        </w:numPr>
        <w:jc w:val="both"/>
        <w:rPr>
          <w:lang w:val="fr-CA"/>
        </w:rPr>
      </w:pPr>
      <w:r w:rsidRPr="009C6CCF">
        <w:rPr>
          <w:lang w:val="fr-CA"/>
        </w:rPr>
        <w:t>d’exiger que le ministère fédéral des Transports collabore avec les ministères provinciaux des Transports pour favoriser les investissements dans des aires de repos et de stationnement sécuritaires supplémentaires pour les conductrices et conducteurs de longue distance de poids lourds en région;</w:t>
      </w:r>
    </w:p>
    <w:p w14:paraId="63BE048A" w14:textId="09E3ACB8" w:rsidR="0075169C" w:rsidRPr="009C6CCF" w:rsidRDefault="0075169C" w:rsidP="00621225">
      <w:pPr>
        <w:pStyle w:val="ListParagraph"/>
        <w:numPr>
          <w:ilvl w:val="0"/>
          <w:numId w:val="7"/>
        </w:numPr>
        <w:jc w:val="both"/>
        <w:rPr>
          <w:lang w:val="fr-CA"/>
        </w:rPr>
      </w:pPr>
      <w:r w:rsidRPr="009C6CCF">
        <w:rPr>
          <w:lang w:val="fr-CA"/>
        </w:rPr>
        <w:t>de soutenir et de financer une autre solution d’assurance à bas prix dans le secteur du transport routier privé, y compris les taxis.</w:t>
      </w:r>
    </w:p>
    <w:p w14:paraId="53559093" w14:textId="77777777" w:rsidR="00AB2512" w:rsidRPr="009C6CCF" w:rsidRDefault="00AB2512" w:rsidP="00AB2512">
      <w:pPr>
        <w:pStyle w:val="Heading1"/>
        <w:jc w:val="both"/>
        <w:rPr>
          <w:lang w:val="fr-CA"/>
        </w:rPr>
      </w:pPr>
      <w:r w:rsidRPr="009C6CCF">
        <w:rPr>
          <w:lang w:val="fr-CA"/>
        </w:rPr>
        <w:lastRenderedPageBreak/>
        <w:t>Mesures de soutien à la transition et de stabilisation économique</w:t>
      </w:r>
    </w:p>
    <w:p w14:paraId="1498354A" w14:textId="77777777" w:rsidR="00AB2512" w:rsidRPr="00AB2512" w:rsidRDefault="00AB2512" w:rsidP="00AB2512">
      <w:pPr>
        <w:pStyle w:val="Heading2"/>
        <w:numPr>
          <w:ilvl w:val="0"/>
          <w:numId w:val="41"/>
        </w:numPr>
        <w:jc w:val="both"/>
        <w:rPr>
          <w:rFonts w:ascii="Arial" w:hAnsi="Arial" w:cs="Arial"/>
          <w:lang w:val="fr-CA"/>
        </w:rPr>
      </w:pPr>
      <w:r w:rsidRPr="00AB2512">
        <w:rPr>
          <w:rFonts w:ascii="Arial" w:hAnsi="Arial" w:cs="Arial"/>
          <w:lang w:val="fr-CA"/>
        </w:rPr>
        <w:t>Financer et mettre en œuvre des transitions viables vers des emplois durables</w:t>
      </w:r>
    </w:p>
    <w:p w14:paraId="2E412237" w14:textId="77777777" w:rsidR="00AB2512" w:rsidRPr="009C6CCF" w:rsidRDefault="00AB2512" w:rsidP="00AB2512">
      <w:pPr>
        <w:jc w:val="both"/>
        <w:rPr>
          <w:rFonts w:eastAsia="Times New Roman"/>
          <w:color w:val="000000"/>
          <w:lang w:val="fr-CA"/>
        </w:rPr>
      </w:pPr>
      <w:r w:rsidRPr="009C6CCF">
        <w:rPr>
          <w:rFonts w:eastAsia="Times New Roman"/>
          <w:color w:val="000000"/>
          <w:lang w:val="fr-CA"/>
        </w:rPr>
        <w:t xml:space="preserve">Le Plan provisoire pour des emplois durables et la </w:t>
      </w:r>
      <w:r w:rsidRPr="009C6CCF">
        <w:rPr>
          <w:rFonts w:eastAsia="Times New Roman"/>
          <w:i/>
          <w:iCs/>
          <w:color w:val="000000"/>
          <w:lang w:val="fr-CA"/>
        </w:rPr>
        <w:t>Loi canadienne sur les emplois durables</w:t>
      </w:r>
      <w:r w:rsidRPr="009C6CCF">
        <w:rPr>
          <w:rFonts w:eastAsia="Times New Roman"/>
          <w:color w:val="000000"/>
          <w:lang w:val="fr-CA"/>
        </w:rPr>
        <w:t xml:space="preserve"> </w:t>
      </w:r>
      <w:r w:rsidRPr="009C6CCF">
        <w:rPr>
          <w:lang w:val="fr-CA"/>
        </w:rPr>
        <w:t xml:space="preserve">sont </w:t>
      </w:r>
      <w:r w:rsidRPr="009C6CCF">
        <w:rPr>
          <w:rFonts w:eastAsia="Times New Roman"/>
          <w:color w:val="000000"/>
          <w:lang w:val="fr-CA"/>
        </w:rPr>
        <w:t>les premières mesures ciblées du Canada visant à protéger les travailleuses et travailleurs touchés par les mesures relatives au climat et à la biodiversité. Pour atteindre ses objectifs, le programme nécessitera un financement direct et spécifique.</w:t>
      </w:r>
    </w:p>
    <w:p w14:paraId="13CA52A7"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53D18CC2" w14:textId="77777777" w:rsidR="00AB2512" w:rsidRPr="009C6CCF" w:rsidRDefault="00AB2512" w:rsidP="00AB2512">
      <w:pPr>
        <w:numPr>
          <w:ilvl w:val="0"/>
          <w:numId w:val="6"/>
        </w:numPr>
        <w:spacing w:before="0" w:beforeAutospacing="0" w:after="0" w:afterAutospacing="0"/>
        <w:jc w:val="both"/>
        <w:rPr>
          <w:rFonts w:eastAsia="Times New Roman"/>
          <w:color w:val="000000"/>
          <w:lang w:val="fr-CA"/>
        </w:rPr>
      </w:pPr>
      <w:proofErr w:type="gramStart"/>
      <w:r w:rsidRPr="009C6CCF">
        <w:rPr>
          <w:rFonts w:eastAsia="Times New Roman"/>
          <w:color w:val="000000"/>
          <w:lang w:val="fr-CA"/>
        </w:rPr>
        <w:t>de</w:t>
      </w:r>
      <w:proofErr w:type="gramEnd"/>
      <w:r w:rsidRPr="009C6CCF">
        <w:rPr>
          <w:rFonts w:eastAsia="Times New Roman"/>
          <w:color w:val="000000"/>
          <w:lang w:val="fr-CA"/>
        </w:rPr>
        <w:t xml:space="preserve"> mettre en place un Fonds de transition juste qui permet une gamme de réponses à la transition pour soutenir les travailleuses et travailleurs touchés par la décarbonisation, les changements technologiques, la protection des habitats fauniques et de la biodiversité, et le changement climatique.</w:t>
      </w:r>
    </w:p>
    <w:p w14:paraId="2911E23E" w14:textId="77777777" w:rsidR="00AB2512" w:rsidRPr="009C6CCF" w:rsidRDefault="00AB2512" w:rsidP="00AB2512">
      <w:pPr>
        <w:pStyle w:val="Heading2"/>
        <w:jc w:val="both"/>
        <w:rPr>
          <w:rFonts w:ascii="Arial" w:eastAsiaTheme="minorEastAsia" w:hAnsi="Arial" w:cs="Arial"/>
          <w:lang w:val="fr-CA"/>
        </w:rPr>
      </w:pPr>
      <w:r w:rsidRPr="009C6CCF">
        <w:rPr>
          <w:rFonts w:ascii="Arial" w:eastAsiaTheme="minorEastAsia" w:hAnsi="Arial" w:cs="Arial"/>
          <w:lang w:val="fr-CA"/>
        </w:rPr>
        <w:t>Entreprendre une réforme de l’assurance-emploi</w:t>
      </w:r>
    </w:p>
    <w:p w14:paraId="2E21305A" w14:textId="77777777" w:rsidR="00AB2512" w:rsidRPr="009C6CCF" w:rsidRDefault="00AB2512" w:rsidP="00AB2512">
      <w:pPr>
        <w:jc w:val="both"/>
        <w:rPr>
          <w:lang w:val="fr-CA"/>
        </w:rPr>
      </w:pPr>
      <w:r w:rsidRPr="009C6CCF">
        <w:rPr>
          <w:lang w:val="fr-CA"/>
        </w:rPr>
        <w:t>L’assurance-emploi est le plus important stabilisateur économique pour les travailleuses et travailleurs en période de perte d’emploi, de formation ou de transition. Cependant, le régime est inaccessible à la majeure partie de la population canadienne.</w:t>
      </w:r>
    </w:p>
    <w:p w14:paraId="4A48BFA4"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63ECD356" w14:textId="77777777" w:rsidR="00AB2512" w:rsidRPr="009C6CCF" w:rsidRDefault="00AB2512" w:rsidP="00AB2512">
      <w:pPr>
        <w:pStyle w:val="ListParagraph"/>
        <w:numPr>
          <w:ilvl w:val="0"/>
          <w:numId w:val="3"/>
        </w:numPr>
        <w:spacing w:before="0" w:beforeAutospacing="0" w:after="120" w:afterAutospacing="0"/>
        <w:contextualSpacing w:val="0"/>
        <w:jc w:val="both"/>
        <w:rPr>
          <w:szCs w:val="24"/>
          <w:lang w:val="fr-CA"/>
        </w:rPr>
      </w:pPr>
      <w:proofErr w:type="gramStart"/>
      <w:r w:rsidRPr="009C6CCF">
        <w:rPr>
          <w:szCs w:val="24"/>
          <w:lang w:val="fr-CA"/>
        </w:rPr>
        <w:t>d’abaisser</w:t>
      </w:r>
      <w:proofErr w:type="gramEnd"/>
      <w:r w:rsidRPr="009C6CCF">
        <w:rPr>
          <w:szCs w:val="24"/>
          <w:lang w:val="fr-CA"/>
        </w:rPr>
        <w:t xml:space="preserve"> le critère d’admissibilité variable et le seuil d’admissibilité à 360 heures;</w:t>
      </w:r>
    </w:p>
    <w:p w14:paraId="0F748581" w14:textId="77777777" w:rsidR="00AB2512" w:rsidRPr="009C6CCF" w:rsidRDefault="00AB2512" w:rsidP="00AB2512">
      <w:pPr>
        <w:pStyle w:val="ListParagraph"/>
        <w:numPr>
          <w:ilvl w:val="0"/>
          <w:numId w:val="3"/>
        </w:numPr>
        <w:spacing w:before="0" w:beforeAutospacing="0" w:after="120" w:afterAutospacing="0"/>
        <w:contextualSpacing w:val="0"/>
        <w:jc w:val="both"/>
        <w:rPr>
          <w:szCs w:val="24"/>
          <w:lang w:val="fr-CA"/>
        </w:rPr>
      </w:pPr>
      <w:proofErr w:type="gramStart"/>
      <w:r w:rsidRPr="009C6CCF">
        <w:rPr>
          <w:szCs w:val="24"/>
          <w:lang w:val="fr-CA"/>
        </w:rPr>
        <w:t>d’offrir</w:t>
      </w:r>
      <w:proofErr w:type="gramEnd"/>
      <w:r w:rsidRPr="009C6CCF">
        <w:rPr>
          <w:szCs w:val="24"/>
          <w:lang w:val="fr-CA"/>
        </w:rPr>
        <w:t xml:space="preserve"> 50 semaines de prestations régulières d’assurance-emploi dans toutes les régions;</w:t>
      </w:r>
    </w:p>
    <w:p w14:paraId="043251A0" w14:textId="77777777" w:rsidR="00AB2512" w:rsidRPr="009C6CCF" w:rsidRDefault="00AB2512" w:rsidP="00AB2512">
      <w:pPr>
        <w:pStyle w:val="ListParagraph"/>
        <w:numPr>
          <w:ilvl w:val="0"/>
          <w:numId w:val="3"/>
        </w:numPr>
        <w:spacing w:before="0" w:beforeAutospacing="0" w:after="120" w:afterAutospacing="0"/>
        <w:contextualSpacing w:val="0"/>
        <w:jc w:val="both"/>
        <w:rPr>
          <w:szCs w:val="24"/>
          <w:lang w:val="fr-CA"/>
        </w:rPr>
      </w:pPr>
      <w:proofErr w:type="gramStart"/>
      <w:r w:rsidRPr="009C6CCF">
        <w:rPr>
          <w:rFonts w:eastAsia="Calibri"/>
          <w:lang w:val="fr-CA"/>
        </w:rPr>
        <w:t>d’éliminer</w:t>
      </w:r>
      <w:proofErr w:type="gramEnd"/>
      <w:r w:rsidRPr="009C6CCF">
        <w:rPr>
          <w:rFonts w:eastAsia="Calibri"/>
          <w:lang w:val="fr-CA"/>
        </w:rPr>
        <w:t xml:space="preserve"> la limite de 50 semaines pour les prestations spéciales combinées et d’étendre la période de référence à 104 semaines;</w:t>
      </w:r>
    </w:p>
    <w:p w14:paraId="19721D9A" w14:textId="77777777" w:rsidR="00AB2512" w:rsidRPr="009C6CCF" w:rsidRDefault="00AB2512" w:rsidP="00AB2512">
      <w:pPr>
        <w:pStyle w:val="ListParagraph"/>
        <w:numPr>
          <w:ilvl w:val="0"/>
          <w:numId w:val="3"/>
        </w:numPr>
        <w:spacing w:before="0" w:beforeAutospacing="0" w:after="120" w:afterAutospacing="0"/>
        <w:contextualSpacing w:val="0"/>
        <w:jc w:val="both"/>
        <w:rPr>
          <w:szCs w:val="24"/>
          <w:lang w:val="fr-CA"/>
        </w:rPr>
      </w:pPr>
      <w:proofErr w:type="gramStart"/>
      <w:r w:rsidRPr="009C6CCF">
        <w:rPr>
          <w:rFonts w:eastAsia="Calibri"/>
          <w:lang w:val="fr-CA"/>
        </w:rPr>
        <w:t>d’augmenter</w:t>
      </w:r>
      <w:proofErr w:type="gramEnd"/>
      <w:r w:rsidRPr="009C6CCF">
        <w:rPr>
          <w:rFonts w:eastAsia="Calibri"/>
          <w:lang w:val="fr-CA"/>
        </w:rPr>
        <w:t xml:space="preserve"> le taux de remplacement du revenu à 75 % et de relever le plafond de la rémunération assurable.</w:t>
      </w:r>
    </w:p>
    <w:p w14:paraId="49E65272" w14:textId="77777777" w:rsidR="00AB2512" w:rsidRPr="009C6CCF" w:rsidRDefault="00AB2512" w:rsidP="00AB2512">
      <w:pPr>
        <w:pStyle w:val="Heading2"/>
        <w:jc w:val="both"/>
        <w:rPr>
          <w:rFonts w:ascii="Arial" w:eastAsiaTheme="minorEastAsia" w:hAnsi="Arial" w:cs="Arial"/>
          <w:lang w:val="fr-CA"/>
        </w:rPr>
      </w:pPr>
      <w:r w:rsidRPr="009C6CCF">
        <w:rPr>
          <w:rFonts w:ascii="Arial" w:eastAsiaTheme="minorEastAsia" w:hAnsi="Arial" w:cs="Arial"/>
          <w:lang w:val="fr-CA"/>
        </w:rPr>
        <w:t xml:space="preserve">Investir dans les programmes d’adaptation de la main-d’œuvre </w:t>
      </w:r>
    </w:p>
    <w:p w14:paraId="23F5AD6B" w14:textId="77777777" w:rsidR="00AB2512" w:rsidRPr="009C6CCF" w:rsidRDefault="00AB2512" w:rsidP="00AB2512">
      <w:pPr>
        <w:jc w:val="both"/>
        <w:rPr>
          <w:lang w:val="fr-CA"/>
        </w:rPr>
      </w:pPr>
      <w:r w:rsidRPr="009C6CCF">
        <w:rPr>
          <w:lang w:val="fr-CA"/>
        </w:rPr>
        <w:t>Le financement offert par le gouvernement fédéral dans le cadre des ententes sur le développement du marché du travail a permis à Unifor de soutenir les membres déplacés qui ont perdu leur emploi ou dont l’emploi a subi une transition. Le financement continu de ces initiatives, comme les centres d’adaptation de la main-d’œuvre, est impératif pour préparer les futures transitions.</w:t>
      </w:r>
    </w:p>
    <w:p w14:paraId="230A98B8"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6891A32F" w14:textId="77777777" w:rsidR="00AB2512" w:rsidRPr="009C6CCF" w:rsidRDefault="00AB2512" w:rsidP="00AB2512">
      <w:pPr>
        <w:pStyle w:val="ListParagraph"/>
        <w:numPr>
          <w:ilvl w:val="0"/>
          <w:numId w:val="7"/>
        </w:numPr>
        <w:spacing w:before="0" w:beforeAutospacing="0" w:after="120" w:afterAutospacing="0"/>
        <w:ind w:left="714" w:hanging="357"/>
        <w:contextualSpacing w:val="0"/>
        <w:jc w:val="both"/>
        <w:rPr>
          <w:szCs w:val="24"/>
          <w:lang w:val="fr-CA"/>
        </w:rPr>
      </w:pPr>
      <w:proofErr w:type="gramStart"/>
      <w:r w:rsidRPr="009C6CCF">
        <w:rPr>
          <w:szCs w:val="24"/>
          <w:lang w:val="fr-CA"/>
        </w:rPr>
        <w:t>d’exiger</w:t>
      </w:r>
      <w:proofErr w:type="gramEnd"/>
      <w:r w:rsidRPr="009C6CCF">
        <w:rPr>
          <w:szCs w:val="24"/>
          <w:lang w:val="fr-CA"/>
        </w:rPr>
        <w:t xml:space="preserve"> des provinces et des territoires qu’ils négocient des </w:t>
      </w:r>
      <w:r w:rsidRPr="009C6CCF">
        <w:rPr>
          <w:lang w:val="fr-CA"/>
        </w:rPr>
        <w:t>ententes avec les syndicats dans le cadre des programmes consultatifs d’adaptation de la main</w:t>
      </w:r>
      <w:r w:rsidRPr="009C6CCF">
        <w:rPr>
          <w:lang w:val="fr-CA"/>
        </w:rPr>
        <w:noBreakHyphen/>
        <w:t>d’œuvre lors de la fermeture de milieux de travail, et d’augmenter le financement des ententes sur le développement du marché du travail;</w:t>
      </w:r>
    </w:p>
    <w:p w14:paraId="362E21D5" w14:textId="77777777" w:rsidR="00AB2512" w:rsidRPr="009C6CCF" w:rsidRDefault="00AB2512" w:rsidP="00AB2512">
      <w:pPr>
        <w:pStyle w:val="ListParagraph"/>
        <w:numPr>
          <w:ilvl w:val="0"/>
          <w:numId w:val="7"/>
        </w:numPr>
        <w:spacing w:before="0" w:beforeAutospacing="0" w:after="120" w:afterAutospacing="0"/>
        <w:ind w:left="714" w:hanging="357"/>
        <w:contextualSpacing w:val="0"/>
        <w:jc w:val="both"/>
        <w:rPr>
          <w:szCs w:val="24"/>
          <w:lang w:val="fr-CA"/>
        </w:rPr>
      </w:pPr>
      <w:proofErr w:type="gramStart"/>
      <w:r w:rsidRPr="009C6CCF">
        <w:rPr>
          <w:szCs w:val="24"/>
          <w:lang w:val="fr-CA"/>
        </w:rPr>
        <w:lastRenderedPageBreak/>
        <w:t>de</w:t>
      </w:r>
      <w:proofErr w:type="gramEnd"/>
      <w:r w:rsidRPr="009C6CCF">
        <w:rPr>
          <w:szCs w:val="24"/>
          <w:lang w:val="fr-CA"/>
        </w:rPr>
        <w:t xml:space="preserve"> mettre sur pied le conseil tripartite proposé sur l’assurance-emploi, lequel serait composé de représentantes et représentants des syndicats, des employeurs et du gouvernement, afin de garantir une utilisation appropriée et cohérente des fonds fédéraux destinés aux centres d’adaptation.</w:t>
      </w:r>
    </w:p>
    <w:p w14:paraId="22D4C777" w14:textId="77777777" w:rsidR="00AB2512" w:rsidRPr="009C6CCF" w:rsidRDefault="00AB2512" w:rsidP="00AB2512">
      <w:pPr>
        <w:pStyle w:val="Heading2"/>
        <w:jc w:val="both"/>
        <w:rPr>
          <w:rFonts w:ascii="Arial" w:hAnsi="Arial" w:cs="Arial"/>
          <w:lang w:val="fr-CA"/>
        </w:rPr>
      </w:pPr>
      <w:r w:rsidRPr="009C6CCF">
        <w:rPr>
          <w:rFonts w:ascii="Arial" w:hAnsi="Arial" w:cs="Arial"/>
          <w:lang w:val="fr-CA"/>
        </w:rPr>
        <w:t>Résoudre la crise du logement</w:t>
      </w:r>
    </w:p>
    <w:p w14:paraId="57F4E6F6" w14:textId="77777777" w:rsidR="00AB2512" w:rsidRPr="009C6CCF" w:rsidRDefault="00AB2512" w:rsidP="00AB2512">
      <w:pPr>
        <w:jc w:val="both"/>
        <w:rPr>
          <w:lang w:val="fr-CA"/>
        </w:rPr>
      </w:pPr>
      <w:r w:rsidRPr="009C6CCF">
        <w:rPr>
          <w:lang w:val="fr-CA"/>
        </w:rPr>
        <w:t>Unifor soutient les efforts renouvelés du gouvernement fédéral au chapitre du logement, en particulier comme l’énonce le budget fédéral de 2024. Toutefois, il faut en faire davantage pour résoudre la crise du logement au Canada.</w:t>
      </w:r>
    </w:p>
    <w:p w14:paraId="694D5730" w14:textId="77777777" w:rsidR="00AB2512" w:rsidRPr="009C6CCF" w:rsidRDefault="00AB2512" w:rsidP="00AB2512">
      <w:pPr>
        <w:jc w:val="both"/>
        <w:rPr>
          <w:lang w:val="fr-CA"/>
        </w:rPr>
      </w:pPr>
      <w:r w:rsidRPr="009C6CCF">
        <w:rPr>
          <w:rFonts w:eastAsia="Times New Roman"/>
          <w:color w:val="000000"/>
          <w:lang w:val="fr-CA"/>
        </w:rPr>
        <w:t>Unifor recommande au gouvernement :</w:t>
      </w:r>
    </w:p>
    <w:p w14:paraId="5716B4E3" w14:textId="77777777" w:rsidR="00AB2512" w:rsidRPr="009C6CCF" w:rsidRDefault="00AB2512" w:rsidP="00AB2512">
      <w:pPr>
        <w:pStyle w:val="ListParagraph"/>
        <w:numPr>
          <w:ilvl w:val="0"/>
          <w:numId w:val="7"/>
        </w:numPr>
        <w:jc w:val="both"/>
        <w:rPr>
          <w:szCs w:val="24"/>
          <w:lang w:val="fr-CA"/>
        </w:rPr>
      </w:pPr>
      <w:proofErr w:type="gramStart"/>
      <w:r w:rsidRPr="009C6CCF">
        <w:rPr>
          <w:szCs w:val="24"/>
          <w:lang w:val="fr-CA"/>
        </w:rPr>
        <w:t>de</w:t>
      </w:r>
      <w:proofErr w:type="gramEnd"/>
      <w:r w:rsidRPr="009C6CCF">
        <w:rPr>
          <w:szCs w:val="24"/>
          <w:lang w:val="fr-CA"/>
        </w:rPr>
        <w:t xml:space="preserve"> veiller à ce que les fonds destinés à la lutte contre les campements soient réservés aux municipalités qui adoptent une approche « fondée sur les droits »;</w:t>
      </w:r>
    </w:p>
    <w:p w14:paraId="1D264A40" w14:textId="77777777" w:rsidR="00AB2512" w:rsidRPr="009C6CCF" w:rsidRDefault="00AB2512" w:rsidP="00AB2512">
      <w:pPr>
        <w:pStyle w:val="ListParagraph"/>
        <w:numPr>
          <w:ilvl w:val="0"/>
          <w:numId w:val="7"/>
        </w:numPr>
        <w:jc w:val="both"/>
        <w:rPr>
          <w:szCs w:val="24"/>
          <w:lang w:val="fr-CA"/>
        </w:rPr>
      </w:pPr>
      <w:proofErr w:type="gramStart"/>
      <w:r w:rsidRPr="009C6CCF">
        <w:rPr>
          <w:szCs w:val="24"/>
          <w:lang w:val="fr-CA"/>
        </w:rPr>
        <w:t>d’accroître</w:t>
      </w:r>
      <w:proofErr w:type="gramEnd"/>
      <w:r w:rsidRPr="009C6CCF">
        <w:rPr>
          <w:szCs w:val="24"/>
          <w:lang w:val="fr-CA"/>
        </w:rPr>
        <w:t xml:space="preserve"> les investissements dans les logements hors marché, y compris les logements sans but lucratif et les coopératives d’habitation, dans le but de créer davantage de logements très abordables;</w:t>
      </w:r>
    </w:p>
    <w:p w14:paraId="60FB2E4C" w14:textId="77777777" w:rsidR="00AB2512" w:rsidRPr="009C6CCF" w:rsidRDefault="00AB2512" w:rsidP="00AB2512">
      <w:pPr>
        <w:pStyle w:val="ListParagraph"/>
        <w:numPr>
          <w:ilvl w:val="0"/>
          <w:numId w:val="7"/>
        </w:numPr>
        <w:jc w:val="both"/>
        <w:rPr>
          <w:szCs w:val="24"/>
          <w:lang w:val="fr-CA"/>
        </w:rPr>
      </w:pPr>
      <w:proofErr w:type="gramStart"/>
      <w:r w:rsidRPr="009C6CCF">
        <w:rPr>
          <w:szCs w:val="24"/>
          <w:lang w:val="fr-CA"/>
        </w:rPr>
        <w:t>d’améliorer</w:t>
      </w:r>
      <w:proofErr w:type="gramEnd"/>
      <w:r w:rsidRPr="009C6CCF">
        <w:rPr>
          <w:szCs w:val="24"/>
          <w:lang w:val="fr-CA"/>
        </w:rPr>
        <w:t xml:space="preserve"> la conception de diverses mesures de soutien du revenu et d’en augmenter le financement, notamment en révisant la nouvelle Prestation canadienne pour les personnes handicapées afin d’empêcher la récupération d’autres aides vitales.</w:t>
      </w:r>
    </w:p>
    <w:p w14:paraId="34B4B581" w14:textId="664AA02C" w:rsidR="00321B7B" w:rsidRPr="009C6CCF" w:rsidRDefault="00685F65" w:rsidP="00A505CB">
      <w:pPr>
        <w:pStyle w:val="Heading1"/>
        <w:spacing w:before="0" w:beforeAutospacing="0" w:after="0" w:afterAutospacing="0"/>
        <w:jc w:val="both"/>
        <w:rPr>
          <w:lang w:val="fr-CA"/>
        </w:rPr>
      </w:pPr>
      <w:r w:rsidRPr="009C6CCF">
        <w:rPr>
          <w:lang w:val="fr-CA"/>
        </w:rPr>
        <w:t>Recettes et s</w:t>
      </w:r>
      <w:r w:rsidR="00F40C18" w:rsidRPr="009C6CCF">
        <w:rPr>
          <w:lang w:val="fr-CA"/>
        </w:rPr>
        <w:t>ervices publics</w:t>
      </w:r>
      <w:r w:rsidR="00321B7B" w:rsidRPr="009C6CCF">
        <w:rPr>
          <w:lang w:val="fr-CA"/>
        </w:rPr>
        <w:t xml:space="preserve"> </w:t>
      </w:r>
    </w:p>
    <w:p w14:paraId="13A3D8C7" w14:textId="5C3823AA" w:rsidR="00321B7B" w:rsidRPr="009C6CCF" w:rsidRDefault="00F40C18" w:rsidP="00FA1F6E">
      <w:pPr>
        <w:pStyle w:val="Heading2"/>
        <w:numPr>
          <w:ilvl w:val="0"/>
          <w:numId w:val="5"/>
        </w:numPr>
        <w:jc w:val="both"/>
        <w:rPr>
          <w:rFonts w:ascii="Arial" w:hAnsi="Arial" w:cs="Arial"/>
          <w:lang w:val="fr-CA"/>
        </w:rPr>
      </w:pPr>
      <w:r w:rsidRPr="009C6CCF">
        <w:rPr>
          <w:rFonts w:ascii="Arial" w:hAnsi="Arial" w:cs="Arial"/>
          <w:lang w:val="fr-CA"/>
        </w:rPr>
        <w:t>Créer un régime d’assurance-médicaments universel et complet</w:t>
      </w:r>
    </w:p>
    <w:p w14:paraId="1671AA13" w14:textId="0CE64FA4" w:rsidR="00AD7516" w:rsidRPr="009C6CCF" w:rsidRDefault="00AD7516" w:rsidP="00621225">
      <w:pPr>
        <w:jc w:val="both"/>
        <w:rPr>
          <w:lang w:val="fr-CA"/>
        </w:rPr>
      </w:pPr>
      <w:r w:rsidRPr="009C6CCF">
        <w:rPr>
          <w:lang w:val="fr-CA"/>
        </w:rPr>
        <w:t>Le proj</w:t>
      </w:r>
      <w:r w:rsidR="002F4446" w:rsidRPr="009C6CCF">
        <w:rPr>
          <w:lang w:val="fr-CA"/>
        </w:rPr>
        <w:t>e</w:t>
      </w:r>
      <w:r w:rsidRPr="009C6CCF">
        <w:rPr>
          <w:lang w:val="fr-CA"/>
        </w:rPr>
        <w:t>t</w:t>
      </w:r>
      <w:r w:rsidR="00E14DE2" w:rsidRPr="009C6CCF">
        <w:rPr>
          <w:lang w:val="fr-CA"/>
        </w:rPr>
        <w:t xml:space="preserve"> de loi C-64, la </w:t>
      </w:r>
      <w:r w:rsidR="00E14DE2" w:rsidRPr="009C6CCF">
        <w:rPr>
          <w:i/>
          <w:iCs/>
          <w:lang w:val="fr-CA"/>
        </w:rPr>
        <w:t>Loi concernant l’assurance médicaments</w:t>
      </w:r>
      <w:r w:rsidR="00E14DE2" w:rsidRPr="009C6CCF">
        <w:rPr>
          <w:lang w:val="fr-CA"/>
        </w:rPr>
        <w:t>, a jeté les bases du régime d’assurance-médicaments universel et introduit la première phase de couverture des médicaments et des dispositifs de contraception et contre le diabète. Le gouvernement fédéral doit s’appuyer sur ces progrès.</w:t>
      </w:r>
    </w:p>
    <w:p w14:paraId="1E17AA78"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4F4C45CD" w14:textId="5537E670" w:rsidR="0083575F" w:rsidRPr="009C6CCF" w:rsidRDefault="0083575F" w:rsidP="00621225">
      <w:pPr>
        <w:pStyle w:val="ListParagraph"/>
        <w:numPr>
          <w:ilvl w:val="0"/>
          <w:numId w:val="21"/>
        </w:numPr>
        <w:jc w:val="both"/>
        <w:rPr>
          <w:lang w:val="fr-CA"/>
        </w:rPr>
      </w:pPr>
      <w:r w:rsidRPr="009C6CCF">
        <w:rPr>
          <w:lang w:val="fr-CA"/>
        </w:rPr>
        <w:t xml:space="preserve">d’établir le cadre d’un </w:t>
      </w:r>
      <w:r w:rsidR="00C05671" w:rsidRPr="009C6CCF">
        <w:rPr>
          <w:lang w:val="fr-CA"/>
        </w:rPr>
        <w:t>régime</w:t>
      </w:r>
      <w:r w:rsidRPr="009C6CCF">
        <w:rPr>
          <w:lang w:val="fr-CA"/>
        </w:rPr>
        <w:t xml:space="preserve"> complet d’assurance-médicaments et de commencer à le mettre en œuvre dès que possible. Le </w:t>
      </w:r>
      <w:r w:rsidR="00C05671" w:rsidRPr="009C6CCF">
        <w:rPr>
          <w:lang w:val="fr-CA"/>
        </w:rPr>
        <w:t xml:space="preserve">régime </w:t>
      </w:r>
      <w:r w:rsidRPr="009C6CCF">
        <w:rPr>
          <w:lang w:val="fr-CA"/>
        </w:rPr>
        <w:t>d’assurance</w:t>
      </w:r>
      <w:r w:rsidR="00C05671" w:rsidRPr="009C6CCF">
        <w:rPr>
          <w:lang w:val="fr-CA"/>
        </w:rPr>
        <w:noBreakHyphen/>
      </w:r>
      <w:r w:rsidRPr="009C6CCF">
        <w:rPr>
          <w:lang w:val="fr-CA"/>
        </w:rPr>
        <w:t>médicaments pleinement réalisé doit respecter le principe d’universalité, qui comprend un système à payeur unique financé et administré par l’État.</w:t>
      </w:r>
    </w:p>
    <w:p w14:paraId="06451547" w14:textId="6B13C83C" w:rsidR="00321B7B" w:rsidRPr="009C6CCF" w:rsidRDefault="0087732B" w:rsidP="00621225">
      <w:pPr>
        <w:pStyle w:val="Heading2"/>
        <w:numPr>
          <w:ilvl w:val="0"/>
          <w:numId w:val="5"/>
        </w:numPr>
        <w:jc w:val="both"/>
        <w:rPr>
          <w:rFonts w:ascii="Arial" w:eastAsiaTheme="minorEastAsia" w:hAnsi="Arial" w:cs="Arial"/>
          <w:lang w:val="fr-CA"/>
        </w:rPr>
      </w:pPr>
      <w:r w:rsidRPr="009C6CCF">
        <w:rPr>
          <w:rFonts w:ascii="Arial" w:eastAsiaTheme="minorEastAsia" w:hAnsi="Arial" w:cs="Arial"/>
          <w:lang w:val="fr-CA"/>
        </w:rPr>
        <w:t>Améliorer la surveillance des dépenses en santé</w:t>
      </w:r>
    </w:p>
    <w:p w14:paraId="6CE0BE47" w14:textId="1248092C" w:rsidR="0083575F" w:rsidRPr="009C6CCF" w:rsidRDefault="0044139D" w:rsidP="00621225">
      <w:pPr>
        <w:jc w:val="both"/>
        <w:rPr>
          <w:lang w:val="fr-CA"/>
        </w:rPr>
      </w:pPr>
      <w:r w:rsidRPr="009C6CCF">
        <w:rPr>
          <w:lang w:val="fr-CA"/>
        </w:rPr>
        <w:t xml:space="preserve">Les provinces s’appuient de plus en plus sur des fournisseurs de services du secteur privé pour fournir des services de soins de santé, une situation </w:t>
      </w:r>
      <w:r w:rsidR="00FA4A9E" w:rsidRPr="009C6CCF">
        <w:rPr>
          <w:lang w:val="fr-CA"/>
        </w:rPr>
        <w:t xml:space="preserve">qui est </w:t>
      </w:r>
      <w:r w:rsidRPr="009C6CCF">
        <w:rPr>
          <w:lang w:val="fr-CA"/>
        </w:rPr>
        <w:t xml:space="preserve">inacceptable. </w:t>
      </w:r>
      <w:r w:rsidR="0083575F" w:rsidRPr="009C6CCF">
        <w:rPr>
          <w:lang w:val="fr-CA"/>
        </w:rPr>
        <w:t>Chaque dollar de profit réalisé par les exploitants représente un dollar qui n’est pas directement affecté aux soins de première ligne.</w:t>
      </w:r>
    </w:p>
    <w:p w14:paraId="0CF37E43"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173D424B" w14:textId="0A967B54" w:rsidR="00D824AB" w:rsidRPr="009C6CCF" w:rsidRDefault="00D35CB4" w:rsidP="00621225">
      <w:pPr>
        <w:pStyle w:val="ListParagraph"/>
        <w:numPr>
          <w:ilvl w:val="0"/>
          <w:numId w:val="21"/>
        </w:numPr>
        <w:jc w:val="both"/>
        <w:rPr>
          <w:lang w:val="fr-CA"/>
        </w:rPr>
      </w:pPr>
      <w:r w:rsidRPr="009C6CCF">
        <w:rPr>
          <w:lang w:val="fr-CA"/>
        </w:rPr>
        <w:lastRenderedPageBreak/>
        <w:t xml:space="preserve">de </w:t>
      </w:r>
      <w:r w:rsidR="00D824AB" w:rsidRPr="009C6CCF">
        <w:rPr>
          <w:lang w:val="fr-CA"/>
        </w:rPr>
        <w:t xml:space="preserve">respecter le principe d’universalité énoncé dans la </w:t>
      </w:r>
      <w:r w:rsidR="00D824AB" w:rsidRPr="009C6CCF">
        <w:rPr>
          <w:i/>
          <w:iCs/>
          <w:lang w:val="fr-CA"/>
        </w:rPr>
        <w:t xml:space="preserve">Loi canadienne sur la santé </w:t>
      </w:r>
      <w:r w:rsidR="00D824AB" w:rsidRPr="009C6CCF">
        <w:rPr>
          <w:lang w:val="fr-CA"/>
        </w:rPr>
        <w:t xml:space="preserve">et </w:t>
      </w:r>
      <w:r w:rsidR="00843A31" w:rsidRPr="009C6CCF">
        <w:rPr>
          <w:lang w:val="fr-CA"/>
        </w:rPr>
        <w:t xml:space="preserve">de </w:t>
      </w:r>
      <w:r w:rsidR="00D824AB" w:rsidRPr="009C6CCF">
        <w:rPr>
          <w:lang w:val="fr-CA"/>
        </w:rPr>
        <w:t xml:space="preserve">surveiller les dépenses </w:t>
      </w:r>
      <w:r w:rsidRPr="009C6CCF">
        <w:rPr>
          <w:lang w:val="fr-CA"/>
        </w:rPr>
        <w:t>provinciales en matière de santé;</w:t>
      </w:r>
    </w:p>
    <w:p w14:paraId="4EB9D35B" w14:textId="69EEE22C" w:rsidR="00D35CB4" w:rsidRPr="009C6CCF" w:rsidRDefault="00D35CB4" w:rsidP="00621225">
      <w:pPr>
        <w:pStyle w:val="ListParagraph"/>
        <w:numPr>
          <w:ilvl w:val="0"/>
          <w:numId w:val="21"/>
        </w:numPr>
        <w:jc w:val="both"/>
        <w:rPr>
          <w:lang w:val="fr-CA"/>
        </w:rPr>
      </w:pPr>
      <w:r w:rsidRPr="009C6CCF">
        <w:rPr>
          <w:lang w:val="fr-CA"/>
        </w:rPr>
        <w:t>de veiller à ce que les transferts fédéraux contribuent à accroître les capacités dans le cadre public existant;</w:t>
      </w:r>
    </w:p>
    <w:p w14:paraId="19CF833B" w14:textId="570AE459" w:rsidR="00D35CB4" w:rsidRPr="009C6CCF" w:rsidRDefault="00D35CB4" w:rsidP="00621225">
      <w:pPr>
        <w:pStyle w:val="ListParagraph"/>
        <w:numPr>
          <w:ilvl w:val="0"/>
          <w:numId w:val="21"/>
        </w:numPr>
        <w:jc w:val="both"/>
        <w:rPr>
          <w:lang w:val="fr-CA"/>
        </w:rPr>
      </w:pPr>
      <w:r w:rsidRPr="009C6CCF">
        <w:rPr>
          <w:lang w:val="fr-CA"/>
        </w:rPr>
        <w:t xml:space="preserve">de s’attaquer à la pénurie de main-d’œuvre en élargissant les programmes </w:t>
      </w:r>
      <w:r w:rsidR="00925312" w:rsidRPr="009C6CCF">
        <w:rPr>
          <w:lang w:val="fr-CA"/>
        </w:rPr>
        <w:t xml:space="preserve">d’exonération de remboursement </w:t>
      </w:r>
      <w:r w:rsidRPr="009C6CCF">
        <w:rPr>
          <w:lang w:val="fr-CA"/>
        </w:rPr>
        <w:t>de</w:t>
      </w:r>
      <w:r w:rsidR="00925312" w:rsidRPr="009C6CCF">
        <w:rPr>
          <w:lang w:val="fr-CA"/>
        </w:rPr>
        <w:t>s</w:t>
      </w:r>
      <w:r w:rsidRPr="009C6CCF">
        <w:rPr>
          <w:lang w:val="fr-CA"/>
        </w:rPr>
        <w:t xml:space="preserve"> prêts étudiants pour les professionnels de la santé.</w:t>
      </w:r>
    </w:p>
    <w:p w14:paraId="667ED617" w14:textId="786AA9C1" w:rsidR="00321B7B" w:rsidRPr="009C6CCF" w:rsidRDefault="00E21FEA" w:rsidP="007B624C">
      <w:pPr>
        <w:pStyle w:val="Heading2"/>
        <w:numPr>
          <w:ilvl w:val="0"/>
          <w:numId w:val="5"/>
        </w:numPr>
        <w:jc w:val="both"/>
        <w:rPr>
          <w:rFonts w:ascii="Arial" w:hAnsi="Arial" w:cs="Arial"/>
          <w:lang w:val="fr-CA"/>
        </w:rPr>
      </w:pPr>
      <w:r w:rsidRPr="009C6CCF">
        <w:rPr>
          <w:rFonts w:ascii="Arial" w:hAnsi="Arial" w:cs="Arial"/>
          <w:lang w:val="fr-CA"/>
        </w:rPr>
        <w:t>Réorienter les soins de longue durée pour améliorer les services offerts aux personnes âgées</w:t>
      </w:r>
    </w:p>
    <w:p w14:paraId="15F456A8" w14:textId="62FECED4" w:rsidR="00E21FEA" w:rsidRPr="009C6CCF" w:rsidRDefault="00E21FEA" w:rsidP="00621225">
      <w:pPr>
        <w:pStyle w:val="ListParagraph"/>
        <w:spacing w:before="0" w:beforeAutospacing="0" w:after="120" w:afterAutospacing="0"/>
        <w:ind w:left="0"/>
        <w:jc w:val="both"/>
        <w:rPr>
          <w:rFonts w:eastAsiaTheme="minorEastAsia"/>
          <w:szCs w:val="24"/>
          <w:lang w:val="fr-CA"/>
        </w:rPr>
      </w:pPr>
      <w:r w:rsidRPr="009C6CCF">
        <w:rPr>
          <w:rFonts w:eastAsiaTheme="minorEastAsia"/>
          <w:szCs w:val="24"/>
          <w:lang w:val="fr-CA"/>
        </w:rPr>
        <w:t>Le gouvernement doit jouer un rôle plus important pour veiller à ce que les besoins des personnes âgées dans les établissements de soins de longue durée soient satisfaits, en mettant notamment en place des mesures de financement et d’autres initiatives qui permettraient de réorienter les soins de longue durée en les éloignant des soins privés à but lucratif.</w:t>
      </w:r>
    </w:p>
    <w:p w14:paraId="743F7A72"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34DC72CC" w14:textId="0EFEB03A" w:rsidR="00071215" w:rsidRPr="009C6CCF" w:rsidRDefault="00071215" w:rsidP="00621225">
      <w:pPr>
        <w:pStyle w:val="ListParagraph"/>
        <w:numPr>
          <w:ilvl w:val="0"/>
          <w:numId w:val="20"/>
        </w:numPr>
        <w:spacing w:before="0" w:beforeAutospacing="0" w:after="120" w:afterAutospacing="0"/>
        <w:jc w:val="both"/>
        <w:rPr>
          <w:rFonts w:eastAsiaTheme="minorEastAsia"/>
          <w:szCs w:val="24"/>
          <w:lang w:val="fr-CA"/>
        </w:rPr>
      </w:pPr>
      <w:r w:rsidRPr="009C6CCF">
        <w:rPr>
          <w:rFonts w:eastAsiaTheme="minorEastAsia"/>
          <w:szCs w:val="24"/>
          <w:lang w:val="fr-CA"/>
        </w:rPr>
        <w:t xml:space="preserve">de fournir des transferts conditionnels aux provinces pour atteindre un certain nombre d’objectifs, notamment fixer des normes minimales de soins, </w:t>
      </w:r>
      <w:r w:rsidR="008C0223" w:rsidRPr="009C6CCF">
        <w:rPr>
          <w:rFonts w:eastAsiaTheme="minorEastAsia"/>
          <w:szCs w:val="24"/>
          <w:lang w:val="fr-CA"/>
        </w:rPr>
        <w:t>mettre sur pied d</w:t>
      </w:r>
      <w:r w:rsidRPr="009C6CCF">
        <w:rPr>
          <w:rFonts w:eastAsiaTheme="minorEastAsia"/>
          <w:szCs w:val="24"/>
          <w:lang w:val="fr-CA"/>
        </w:rPr>
        <w:t>es établissements sans but lucratif et appartenant au gouvernement, éliminer progressivement les établissements de soins de longue durée à but lucratif, et élaborer des stratégies globales en matière de main-d’œuvre, en collaboration avec les organisations syndicales;</w:t>
      </w:r>
    </w:p>
    <w:p w14:paraId="46748290" w14:textId="70B0D099" w:rsidR="00071215" w:rsidRPr="009C6CCF" w:rsidRDefault="00071215" w:rsidP="00621225">
      <w:pPr>
        <w:pStyle w:val="ListParagraph"/>
        <w:numPr>
          <w:ilvl w:val="0"/>
          <w:numId w:val="20"/>
        </w:numPr>
        <w:spacing w:before="0" w:beforeAutospacing="0" w:after="120" w:afterAutospacing="0"/>
        <w:jc w:val="both"/>
        <w:rPr>
          <w:rFonts w:eastAsiaTheme="minorEastAsia"/>
          <w:szCs w:val="24"/>
          <w:lang w:val="fr-CA"/>
        </w:rPr>
      </w:pPr>
      <w:r w:rsidRPr="009C6CCF">
        <w:rPr>
          <w:rFonts w:eastAsiaTheme="minorEastAsia"/>
          <w:szCs w:val="24"/>
          <w:lang w:val="fr-CA"/>
        </w:rPr>
        <w:t>de faire passer immédiatement Revera dans le giron public.</w:t>
      </w:r>
    </w:p>
    <w:p w14:paraId="493AF32A" w14:textId="11DD6917" w:rsidR="00F711DA" w:rsidRPr="009C6CCF" w:rsidRDefault="001A25D3" w:rsidP="00621225">
      <w:pPr>
        <w:pStyle w:val="Heading2"/>
        <w:numPr>
          <w:ilvl w:val="0"/>
          <w:numId w:val="23"/>
        </w:numPr>
        <w:jc w:val="both"/>
        <w:rPr>
          <w:rFonts w:ascii="Arial" w:hAnsi="Arial" w:cs="Arial"/>
          <w:lang w:val="fr-CA"/>
        </w:rPr>
      </w:pPr>
      <w:r w:rsidRPr="009C6CCF">
        <w:rPr>
          <w:rFonts w:ascii="Arial" w:hAnsi="Arial" w:cs="Arial"/>
          <w:lang w:val="fr-CA"/>
        </w:rPr>
        <w:t>Renforcer les capacités en matière de garde d’enfants</w:t>
      </w:r>
    </w:p>
    <w:p w14:paraId="2CDB7CE9" w14:textId="3A65A556" w:rsidR="001A25D3" w:rsidRPr="009C6CCF" w:rsidRDefault="00F711DA" w:rsidP="00621225">
      <w:pPr>
        <w:jc w:val="both"/>
        <w:rPr>
          <w:lang w:val="fr-CA"/>
        </w:rPr>
      </w:pPr>
      <w:r w:rsidRPr="009C6CCF">
        <w:rPr>
          <w:lang w:val="fr-CA"/>
        </w:rPr>
        <w:t xml:space="preserve">Unifor </w:t>
      </w:r>
      <w:r w:rsidR="001A25D3" w:rsidRPr="009C6CCF">
        <w:rPr>
          <w:lang w:val="fr-CA"/>
        </w:rPr>
        <w:t xml:space="preserve">se réjouit de l’élaboration du </w:t>
      </w:r>
      <w:r w:rsidR="005A5310" w:rsidRPr="009C6CCF">
        <w:rPr>
          <w:lang w:val="fr-CA"/>
        </w:rPr>
        <w:t xml:space="preserve">régime </w:t>
      </w:r>
      <w:r w:rsidR="001A25D3" w:rsidRPr="009C6CCF">
        <w:rPr>
          <w:lang w:val="fr-CA"/>
        </w:rPr>
        <w:t>national de garde d’enfants du Canada. Le gouvernement doit renforcer la capacité du système actuel en collaborant avec les provinces.</w:t>
      </w:r>
    </w:p>
    <w:p w14:paraId="7F714DE8" w14:textId="77777777" w:rsidR="007A0E12" w:rsidRPr="009C6CCF" w:rsidRDefault="007A0E12" w:rsidP="007A0E12">
      <w:pPr>
        <w:jc w:val="both"/>
        <w:rPr>
          <w:lang w:val="fr-CA"/>
        </w:rPr>
      </w:pPr>
      <w:r w:rsidRPr="009C6CCF">
        <w:rPr>
          <w:rFonts w:eastAsia="Times New Roman"/>
          <w:color w:val="000000"/>
          <w:lang w:val="fr-CA"/>
        </w:rPr>
        <w:t>Unifor recommande au gouvernement :</w:t>
      </w:r>
    </w:p>
    <w:p w14:paraId="76E948E7" w14:textId="77777777" w:rsidR="007A0E12" w:rsidRPr="009C6CCF" w:rsidRDefault="007A0E12" w:rsidP="007A0E12">
      <w:pPr>
        <w:pStyle w:val="ListParagraph"/>
        <w:numPr>
          <w:ilvl w:val="0"/>
          <w:numId w:val="7"/>
        </w:numPr>
        <w:jc w:val="both"/>
        <w:rPr>
          <w:lang w:val="fr-CA"/>
        </w:rPr>
      </w:pPr>
      <w:r w:rsidRPr="009C6CCF">
        <w:rPr>
          <w:lang w:val="fr-CA"/>
        </w:rPr>
        <w:t>de maintenir les limites quant au nombre de places en garderie dans les centres à but lucratif afin de permettre la croissance du secteur des garderies sans but lucratif;</w:t>
      </w:r>
    </w:p>
    <w:p w14:paraId="5D51DD23" w14:textId="0C7BBDAA" w:rsidR="00F711DA" w:rsidRPr="009C6CCF" w:rsidRDefault="007A0E12" w:rsidP="007A0E12">
      <w:pPr>
        <w:pStyle w:val="ListParagraph"/>
        <w:numPr>
          <w:ilvl w:val="0"/>
          <w:numId w:val="7"/>
        </w:numPr>
        <w:jc w:val="both"/>
        <w:rPr>
          <w:lang w:val="fr-CA"/>
        </w:rPr>
      </w:pPr>
      <w:r w:rsidRPr="009C6CCF">
        <w:rPr>
          <w:lang w:val="fr-CA"/>
        </w:rPr>
        <w:t>d’élaborer une stratégie de recrutement et de maintien en poste qui tient compte de l’équité des salaires, des pensions et des conditions de travail et qui s’accompagne d’un engagement de financement de contrepartie;</w:t>
      </w:r>
    </w:p>
    <w:p w14:paraId="4C8F1643" w14:textId="7422BAD7" w:rsidR="007A0E12" w:rsidRPr="009C6CCF" w:rsidRDefault="007A0E12" w:rsidP="007A0E12">
      <w:pPr>
        <w:pStyle w:val="ListParagraph"/>
        <w:numPr>
          <w:ilvl w:val="0"/>
          <w:numId w:val="7"/>
        </w:numPr>
        <w:jc w:val="both"/>
        <w:rPr>
          <w:lang w:val="fr-CA"/>
        </w:rPr>
      </w:pPr>
      <w:r w:rsidRPr="009C6CCF">
        <w:rPr>
          <w:lang w:val="fr-CA"/>
        </w:rPr>
        <w:t>d’élargir le programme d’annulation des prêts étudiants à toutes les personnes qui choisissent de faire carrière en éducation de la petite enfance.</w:t>
      </w:r>
    </w:p>
    <w:p w14:paraId="2369CD99" w14:textId="69C6ADC3" w:rsidR="00321B7B" w:rsidRPr="009C6CCF" w:rsidRDefault="00F63640" w:rsidP="00621225">
      <w:pPr>
        <w:pStyle w:val="Heading2"/>
        <w:numPr>
          <w:ilvl w:val="0"/>
          <w:numId w:val="19"/>
        </w:numPr>
        <w:jc w:val="both"/>
        <w:rPr>
          <w:rFonts w:ascii="Arial" w:hAnsi="Arial" w:cs="Arial"/>
          <w:lang w:val="fr-CA"/>
        </w:rPr>
      </w:pPr>
      <w:r w:rsidRPr="009C6CCF">
        <w:rPr>
          <w:rFonts w:ascii="Arial" w:hAnsi="Arial" w:cs="Arial"/>
          <w:lang w:val="fr-CA"/>
        </w:rPr>
        <w:lastRenderedPageBreak/>
        <w:t>Mettre en œuvre la réforme fiscale</w:t>
      </w:r>
    </w:p>
    <w:p w14:paraId="6E1DD4D4" w14:textId="10842DC4" w:rsidR="00F95A13" w:rsidRPr="009C6CCF" w:rsidRDefault="00F95A13" w:rsidP="00621225">
      <w:pPr>
        <w:jc w:val="both"/>
        <w:rPr>
          <w:lang w:val="fr-CA"/>
        </w:rPr>
      </w:pPr>
      <w:r w:rsidRPr="009C6CCF">
        <w:rPr>
          <w:lang w:val="fr-CA"/>
        </w:rPr>
        <w:t xml:space="preserve">Plusieurs modifications fiscales pourraient avoir un impact significatif sur la disparité des revenus et des richesses et l’accessibilité financière, tout en orientant les investissements vers </w:t>
      </w:r>
      <w:r w:rsidR="00EE4E48" w:rsidRPr="009C6CCF">
        <w:rPr>
          <w:lang w:val="fr-CA"/>
        </w:rPr>
        <w:t>l’atteinte des objectifs économiques du Canada.</w:t>
      </w:r>
    </w:p>
    <w:p w14:paraId="69D7C245" w14:textId="77777777" w:rsidR="003811E1" w:rsidRDefault="003811E1" w:rsidP="005379E1">
      <w:pPr>
        <w:jc w:val="both"/>
        <w:rPr>
          <w:rFonts w:eastAsia="Times New Roman"/>
          <w:color w:val="000000"/>
          <w:lang w:val="fr-CA"/>
        </w:rPr>
      </w:pPr>
    </w:p>
    <w:p w14:paraId="42496AC3" w14:textId="0F19BF97" w:rsidR="005379E1" w:rsidRPr="009C6CCF" w:rsidRDefault="005379E1" w:rsidP="005379E1">
      <w:pPr>
        <w:jc w:val="both"/>
        <w:rPr>
          <w:lang w:val="fr-CA"/>
        </w:rPr>
      </w:pPr>
      <w:r w:rsidRPr="009C6CCF">
        <w:rPr>
          <w:rFonts w:eastAsia="Times New Roman"/>
          <w:color w:val="000000"/>
          <w:lang w:val="fr-CA"/>
        </w:rPr>
        <w:t>Unifor recommande au gouvernement :</w:t>
      </w:r>
    </w:p>
    <w:p w14:paraId="44A89F6C" w14:textId="3C79D6AF" w:rsidR="00D17B41" w:rsidRPr="009C6CCF" w:rsidRDefault="00D17B41" w:rsidP="00621225">
      <w:pPr>
        <w:pStyle w:val="ListParagraph"/>
        <w:numPr>
          <w:ilvl w:val="0"/>
          <w:numId w:val="4"/>
        </w:numPr>
        <w:spacing w:before="0" w:beforeAutospacing="0" w:after="120" w:afterAutospacing="0"/>
        <w:contextualSpacing w:val="0"/>
        <w:jc w:val="both"/>
        <w:rPr>
          <w:lang w:val="fr-CA"/>
        </w:rPr>
      </w:pPr>
      <w:r w:rsidRPr="009C6CCF">
        <w:rPr>
          <w:lang w:val="fr-CA"/>
        </w:rPr>
        <w:t>d’é</w:t>
      </w:r>
      <w:r w:rsidR="00D80DBD" w:rsidRPr="009C6CCF">
        <w:rPr>
          <w:lang w:val="fr-CA"/>
        </w:rPr>
        <w:t>tendre l’impôt sur les bénéfices exceptionnels, de l</w:t>
      </w:r>
      <w:r w:rsidR="00B8266E" w:rsidRPr="009C6CCF">
        <w:rPr>
          <w:lang w:val="fr-CA"/>
        </w:rPr>
        <w:t>e</w:t>
      </w:r>
      <w:r w:rsidR="00D80DBD" w:rsidRPr="009C6CCF">
        <w:rPr>
          <w:lang w:val="fr-CA"/>
        </w:rPr>
        <w:t xml:space="preserve"> rendre rétroacti</w:t>
      </w:r>
      <w:r w:rsidR="00B8266E" w:rsidRPr="009C6CCF">
        <w:rPr>
          <w:lang w:val="fr-CA"/>
        </w:rPr>
        <w:t>f</w:t>
      </w:r>
      <w:r w:rsidR="00D80DBD" w:rsidRPr="009C6CCF">
        <w:rPr>
          <w:lang w:val="fr-CA"/>
        </w:rPr>
        <w:t xml:space="preserve"> à 2021 et 2022</w:t>
      </w:r>
      <w:r w:rsidR="00B8266E" w:rsidRPr="009C6CCF">
        <w:rPr>
          <w:lang w:val="fr-CA"/>
        </w:rPr>
        <w:t>,</w:t>
      </w:r>
      <w:r w:rsidR="00D80DBD" w:rsidRPr="009C6CCF">
        <w:rPr>
          <w:lang w:val="fr-CA"/>
        </w:rPr>
        <w:t xml:space="preserve"> et de l</w:t>
      </w:r>
      <w:r w:rsidR="00B8266E" w:rsidRPr="009C6CCF">
        <w:rPr>
          <w:lang w:val="fr-CA"/>
        </w:rPr>
        <w:t>e</w:t>
      </w:r>
      <w:r w:rsidR="00D80DBD" w:rsidRPr="009C6CCF">
        <w:rPr>
          <w:lang w:val="fr-CA"/>
        </w:rPr>
        <w:t xml:space="preserve"> rendre permanent;</w:t>
      </w:r>
    </w:p>
    <w:p w14:paraId="21F1E18B" w14:textId="6E2B87FC" w:rsidR="00D80DBD" w:rsidRPr="009C6CCF" w:rsidRDefault="00D80DBD" w:rsidP="00621225">
      <w:pPr>
        <w:pStyle w:val="ListParagraph"/>
        <w:numPr>
          <w:ilvl w:val="0"/>
          <w:numId w:val="4"/>
        </w:numPr>
        <w:spacing w:before="0" w:beforeAutospacing="0" w:after="120" w:afterAutospacing="0"/>
        <w:contextualSpacing w:val="0"/>
        <w:jc w:val="both"/>
        <w:rPr>
          <w:lang w:val="fr-CA"/>
        </w:rPr>
      </w:pPr>
      <w:r w:rsidRPr="009C6CCF">
        <w:rPr>
          <w:lang w:val="fr-CA"/>
        </w:rPr>
        <w:t>d’exiger des grandes sociétés multinationales qu’elles s’engagent dans un régime de déclaration pays par pays permettant une coopération internationale pour prévenir l’évitement fiscal;</w:t>
      </w:r>
    </w:p>
    <w:p w14:paraId="747FDE3B" w14:textId="78A8D9C5" w:rsidR="00D80DBD" w:rsidRPr="009C6CCF" w:rsidRDefault="00CF46F8" w:rsidP="00396BB8">
      <w:pPr>
        <w:pStyle w:val="ListParagraph"/>
        <w:numPr>
          <w:ilvl w:val="0"/>
          <w:numId w:val="4"/>
        </w:numPr>
        <w:spacing w:before="0" w:beforeAutospacing="0" w:after="120" w:afterAutospacing="0"/>
        <w:contextualSpacing w:val="0"/>
        <w:jc w:val="both"/>
        <w:rPr>
          <w:lang w:val="fr-CA"/>
        </w:rPr>
      </w:pPr>
      <w:r w:rsidRPr="009C6CCF">
        <w:rPr>
          <w:lang w:val="fr-CA"/>
        </w:rPr>
        <w:t xml:space="preserve">de </w:t>
      </w:r>
      <w:r w:rsidR="00D80DBD" w:rsidRPr="009C6CCF">
        <w:rPr>
          <w:lang w:val="fr-CA"/>
        </w:rPr>
        <w:t>mettre fin à l’exonération de l’impôt sur les bénéfices des sociétés de placement immobilier.</w:t>
      </w:r>
    </w:p>
    <w:p w14:paraId="7A9109B3" w14:textId="1C24BB5A" w:rsidR="00A802B3" w:rsidRPr="009C6CCF" w:rsidRDefault="00E362C0" w:rsidP="00621225">
      <w:pPr>
        <w:pStyle w:val="Heading2"/>
        <w:numPr>
          <w:ilvl w:val="0"/>
          <w:numId w:val="22"/>
        </w:numPr>
        <w:jc w:val="both"/>
        <w:rPr>
          <w:rFonts w:ascii="Arial" w:hAnsi="Arial" w:cs="Arial"/>
          <w:lang w:val="fr-CA"/>
        </w:rPr>
      </w:pPr>
      <w:bookmarkStart w:id="1" w:name="_Hlk176510347"/>
      <w:bookmarkStart w:id="2" w:name="_Hlk176510415"/>
      <w:r w:rsidRPr="009C6CCF">
        <w:rPr>
          <w:rFonts w:ascii="Arial" w:hAnsi="Arial" w:cs="Arial"/>
          <w:lang w:val="fr-CA"/>
        </w:rPr>
        <w:t xml:space="preserve">Appliquer la </w:t>
      </w:r>
      <w:r w:rsidRPr="009C6CCF">
        <w:rPr>
          <w:rFonts w:ascii="Arial" w:hAnsi="Arial" w:cs="Arial"/>
          <w:i/>
          <w:iCs/>
          <w:lang w:val="fr-CA"/>
        </w:rPr>
        <w:t xml:space="preserve">Loi sur l’équité en matière d’emploi </w:t>
      </w:r>
      <w:r w:rsidRPr="009C6CCF">
        <w:rPr>
          <w:rFonts w:ascii="Arial" w:hAnsi="Arial" w:cs="Arial"/>
          <w:lang w:val="fr-CA"/>
        </w:rPr>
        <w:t xml:space="preserve">et la </w:t>
      </w:r>
      <w:r w:rsidRPr="009C6CCF">
        <w:rPr>
          <w:rFonts w:ascii="Arial" w:hAnsi="Arial" w:cs="Arial"/>
          <w:i/>
          <w:iCs/>
          <w:lang w:val="fr-CA"/>
        </w:rPr>
        <w:t>Loi sur l’équité salariale</w:t>
      </w:r>
    </w:p>
    <w:p w14:paraId="32421564" w14:textId="63EBD6BC" w:rsidR="00E362C0" w:rsidRPr="009C6CCF" w:rsidRDefault="00E362C0" w:rsidP="00621225">
      <w:pPr>
        <w:jc w:val="both"/>
        <w:rPr>
          <w:lang w:val="fr-CA"/>
        </w:rPr>
      </w:pPr>
      <w:r w:rsidRPr="009C6CCF">
        <w:rPr>
          <w:lang w:val="fr-CA"/>
        </w:rPr>
        <w:t xml:space="preserve">La Commission canadienne des droits de la personne ne peut pas remplir adéquatement son mandat de surveillance des 5 000 milieux de travail couvrant 1,4 million d’employeurs visés par la </w:t>
      </w:r>
      <w:r w:rsidRPr="009C6CCF">
        <w:rPr>
          <w:i/>
          <w:iCs/>
          <w:lang w:val="fr-CA"/>
        </w:rPr>
        <w:t>Loi sur l’équité en matière d’emploi</w:t>
      </w:r>
      <w:r w:rsidRPr="009C6CCF">
        <w:rPr>
          <w:lang w:val="fr-CA"/>
        </w:rPr>
        <w:t xml:space="preserve"> et la </w:t>
      </w:r>
      <w:r w:rsidRPr="009C6CCF">
        <w:rPr>
          <w:i/>
          <w:iCs/>
          <w:lang w:val="fr-CA"/>
        </w:rPr>
        <w:t>Loi sur l’équité salariale</w:t>
      </w:r>
      <w:r w:rsidRPr="009C6CCF">
        <w:rPr>
          <w:lang w:val="fr-CA"/>
        </w:rPr>
        <w:t>, ni appliquer ces lois ou en assurer la conformité selon l’enveloppe budgétaire actuelle.</w:t>
      </w:r>
    </w:p>
    <w:p w14:paraId="1591A4B7" w14:textId="77777777" w:rsidR="005379E1" w:rsidRPr="009C6CCF" w:rsidRDefault="005379E1" w:rsidP="005379E1">
      <w:pPr>
        <w:jc w:val="both"/>
        <w:rPr>
          <w:lang w:val="fr-CA"/>
        </w:rPr>
      </w:pPr>
      <w:r w:rsidRPr="009C6CCF">
        <w:rPr>
          <w:rFonts w:eastAsia="Times New Roman"/>
          <w:color w:val="000000"/>
          <w:lang w:val="fr-CA"/>
        </w:rPr>
        <w:t>Unifor recommande au gouvernement :</w:t>
      </w:r>
    </w:p>
    <w:p w14:paraId="33226600" w14:textId="515EB08B" w:rsidR="00D17B41" w:rsidRPr="009C6CCF" w:rsidRDefault="00D17B41" w:rsidP="00621225">
      <w:pPr>
        <w:pStyle w:val="ListParagraph"/>
        <w:numPr>
          <w:ilvl w:val="0"/>
          <w:numId w:val="24"/>
        </w:numPr>
        <w:jc w:val="both"/>
        <w:rPr>
          <w:lang w:val="fr-CA"/>
        </w:rPr>
      </w:pPr>
      <w:r w:rsidRPr="009C6CCF">
        <w:rPr>
          <w:lang w:val="fr-CA"/>
        </w:rPr>
        <w:t>d’accroître le financement pour embaucher du personnel chargé d’assurer la conformité et d’appliquer ces deux lois afin de garantir que l</w:t>
      </w:r>
      <w:r w:rsidR="005C1594" w:rsidRPr="009C6CCF">
        <w:rPr>
          <w:lang w:val="fr-CA"/>
        </w:rPr>
        <w:t>e</w:t>
      </w:r>
      <w:r w:rsidRPr="009C6CCF">
        <w:rPr>
          <w:lang w:val="fr-CA"/>
        </w:rPr>
        <w:t xml:space="preserve"> Canada atteint l’équité salariale et l’équité en matière d’emploi.</w:t>
      </w:r>
    </w:p>
    <w:bookmarkEnd w:id="1"/>
    <w:bookmarkEnd w:id="2"/>
    <w:p w14:paraId="6C6EAB5E" w14:textId="6A60FBDA" w:rsidR="00621225" w:rsidRPr="003C6F98" w:rsidRDefault="00621225" w:rsidP="00621225">
      <w:pPr>
        <w:jc w:val="right"/>
        <w:rPr>
          <w:sz w:val="16"/>
          <w:szCs w:val="16"/>
          <w:lang w:val="fr-CA"/>
        </w:rPr>
      </w:pPr>
      <w:r w:rsidRPr="009C6CCF">
        <w:rPr>
          <w:sz w:val="16"/>
          <w:szCs w:val="16"/>
          <w:lang w:val="fr-CA"/>
        </w:rPr>
        <w:t>KT:tl</w:t>
      </w:r>
      <w:r w:rsidR="00D17B41" w:rsidRPr="009C6CCF">
        <w:rPr>
          <w:sz w:val="16"/>
          <w:szCs w:val="16"/>
          <w:lang w:val="fr-CA"/>
        </w:rPr>
        <w:t>sepb</w:t>
      </w:r>
      <w:r w:rsidRPr="009C6CCF">
        <w:rPr>
          <w:sz w:val="16"/>
          <w:szCs w:val="16"/>
          <w:lang w:val="fr-CA"/>
        </w:rPr>
        <w:t>343</w:t>
      </w:r>
    </w:p>
    <w:sectPr w:rsidR="00621225" w:rsidRPr="003C6F98" w:rsidSect="007E1CEB">
      <w:footerReference w:type="even" r:id="rId8"/>
      <w:footerReference w:type="default" r:id="rId9"/>
      <w:footerReference w:type="first" r:id="rId10"/>
      <w:pgSz w:w="12240" w:h="15840"/>
      <w:pgMar w:top="993" w:right="1440" w:bottom="990" w:left="1418" w:header="709"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0852D" w14:textId="77777777" w:rsidR="00ED475E" w:rsidRDefault="00ED475E" w:rsidP="00B72EF8">
      <w:r>
        <w:separator/>
      </w:r>
    </w:p>
    <w:p w14:paraId="7D11BC3A" w14:textId="77777777" w:rsidR="00ED475E" w:rsidRDefault="00ED475E" w:rsidP="00B72EF8"/>
  </w:endnote>
  <w:endnote w:type="continuationSeparator" w:id="0">
    <w:p w14:paraId="37D4E550" w14:textId="77777777" w:rsidR="00ED475E" w:rsidRDefault="00ED475E" w:rsidP="00B72EF8">
      <w:r>
        <w:continuationSeparator/>
      </w:r>
    </w:p>
    <w:p w14:paraId="7D6E0F9E" w14:textId="77777777" w:rsidR="00ED475E" w:rsidRDefault="00ED475E" w:rsidP="00B7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hitney-Bold">
    <w:altName w:val="Calibri"/>
    <w:panose1 w:val="00000000000000000000"/>
    <w:charset w:val="00"/>
    <w:family w:val="auto"/>
    <w:notTrueType/>
    <w:pitch w:val="variable"/>
    <w:sig w:usb0="00000003" w:usb1="00000000" w:usb2="00000000" w:usb3="00000000" w:csb0="00000001" w:csb1="00000000"/>
  </w:font>
  <w:font w:name="Whitney-Medium">
    <w:altName w:val="Times New Roman"/>
    <w:panose1 w:val="00000000000000000000"/>
    <w:charset w:val="00"/>
    <w:family w:val="auto"/>
    <w:pitch w:val="variable"/>
    <w:sig w:usb0="8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3DB8" w14:textId="71E3AB49" w:rsidR="00B8239D" w:rsidRDefault="00B8239D" w:rsidP="00B72E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72EF8">
      <w:rPr>
        <w:rStyle w:val="PageNumber"/>
        <w:noProof/>
      </w:rPr>
      <w:t>2</w:t>
    </w:r>
    <w:r>
      <w:rPr>
        <w:rStyle w:val="PageNumber"/>
      </w:rPr>
      <w:fldChar w:fldCharType="end"/>
    </w:r>
  </w:p>
  <w:p w14:paraId="6E59784F" w14:textId="77777777" w:rsidR="00B8239D" w:rsidRDefault="00B8239D" w:rsidP="00B72EF8">
    <w:pPr>
      <w:pStyle w:val="Footer"/>
    </w:pPr>
  </w:p>
  <w:p w14:paraId="79695EF0" w14:textId="77777777" w:rsidR="00B8239D" w:rsidRDefault="00B8239D" w:rsidP="00B72E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B148" w14:textId="25293BE2" w:rsidR="00833E4B" w:rsidRPr="00720D4B" w:rsidRDefault="00B8239D" w:rsidP="00B72EF8">
    <w:pPr>
      <w:pStyle w:val="Footer"/>
      <w:rPr>
        <w:lang w:val="fr-CA"/>
      </w:rPr>
    </w:pPr>
    <w:r w:rsidRPr="00720D4B">
      <w:rPr>
        <w:rStyle w:val="PageNumber"/>
        <w:rFonts w:ascii="Arial" w:hAnsi="Arial"/>
        <w:b/>
        <w:color w:val="002855"/>
        <w:szCs w:val="15"/>
        <w:lang w:val="fr-CA"/>
      </w:rPr>
      <w:fldChar w:fldCharType="begin"/>
    </w:r>
    <w:r w:rsidRPr="00720D4B">
      <w:rPr>
        <w:rStyle w:val="PageNumber"/>
        <w:rFonts w:ascii="Arial" w:hAnsi="Arial"/>
        <w:b/>
        <w:color w:val="002855"/>
        <w:szCs w:val="15"/>
        <w:lang w:val="fr-CA"/>
      </w:rPr>
      <w:instrText xml:space="preserve">PAGE  </w:instrText>
    </w:r>
    <w:r w:rsidRPr="00720D4B">
      <w:rPr>
        <w:rStyle w:val="PageNumber"/>
        <w:rFonts w:ascii="Arial" w:hAnsi="Arial"/>
        <w:b/>
        <w:color w:val="002855"/>
        <w:szCs w:val="15"/>
        <w:lang w:val="fr-CA"/>
      </w:rPr>
      <w:fldChar w:fldCharType="separate"/>
    </w:r>
    <w:r w:rsidR="006D369A" w:rsidRPr="00720D4B">
      <w:rPr>
        <w:rStyle w:val="PageNumber"/>
        <w:rFonts w:ascii="Arial" w:hAnsi="Arial"/>
        <w:b/>
        <w:noProof/>
        <w:color w:val="002855"/>
        <w:szCs w:val="15"/>
        <w:lang w:val="fr-CA"/>
      </w:rPr>
      <w:t>10</w:t>
    </w:r>
    <w:r w:rsidRPr="00720D4B">
      <w:rPr>
        <w:rStyle w:val="PageNumber"/>
        <w:rFonts w:ascii="Arial" w:hAnsi="Arial"/>
        <w:b/>
        <w:color w:val="002855"/>
        <w:szCs w:val="15"/>
        <w:lang w:val="fr-CA"/>
      </w:rPr>
      <w:fldChar w:fldCharType="end"/>
    </w:r>
    <w:r w:rsidR="00785094" w:rsidRPr="00720D4B">
      <w:rPr>
        <w:rStyle w:val="PageNumber"/>
        <w:rFonts w:ascii="Arial" w:hAnsi="Arial"/>
        <w:b/>
        <w:color w:val="005EB8"/>
        <w:szCs w:val="15"/>
        <w:lang w:val="fr-CA"/>
      </w:rPr>
      <w:t xml:space="preserve"> </w:t>
    </w:r>
    <w:r w:rsidR="009C6CCF">
      <w:rPr>
        <w:lang w:val="fr-CA"/>
      </w:rPr>
      <w:t>C</w:t>
    </w:r>
    <w:r w:rsidR="00720D4B">
      <w:rPr>
        <w:lang w:val="fr-CA"/>
      </w:rPr>
      <w:t>onsultation sur le budget fédéral de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A2FE" w14:textId="77777777" w:rsidR="00B8239D" w:rsidRPr="006F0610" w:rsidRDefault="00B8239D" w:rsidP="00DA18DA">
    <w:pPr>
      <w:jc w:val="center"/>
    </w:pPr>
    <w:r>
      <w:br/>
    </w:r>
    <w:r w:rsidRPr="006F0610">
      <w:br/>
    </w:r>
    <w:r w:rsidR="008B7755">
      <w:rPr>
        <w:noProof/>
        <w:lang w:val="en-CA" w:eastAsia="en-CA"/>
      </w:rPr>
      <w:drawing>
        <wp:inline distT="0" distB="0" distL="0" distR="0" wp14:anchorId="1158E232" wp14:editId="643312F2">
          <wp:extent cx="1758093" cy="1402080"/>
          <wp:effectExtent l="0" t="0" r="0" b="0"/>
          <wp:docPr id="1651903709" name="Picture 1651903709" descr="Unif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03709" name="Picture 1651903709" descr="Unifor Logo"/>
                  <pic:cNvPicPr/>
                </pic:nvPicPr>
                <pic:blipFill>
                  <a:blip r:embed="rId1">
                    <a:extLst>
                      <a:ext uri="{28A0092B-C50C-407E-A947-70E740481C1C}">
                        <a14:useLocalDpi xmlns:a14="http://schemas.microsoft.com/office/drawing/2010/main" val="0"/>
                      </a:ext>
                    </a:extLst>
                  </a:blip>
                  <a:stretch>
                    <a:fillRect/>
                  </a:stretch>
                </pic:blipFill>
                <pic:spPr>
                  <a:xfrm>
                    <a:off x="0" y="0"/>
                    <a:ext cx="1773532" cy="1414392"/>
                  </a:xfrm>
                  <a:prstGeom prst="rect">
                    <a:avLst/>
                  </a:prstGeom>
                </pic:spPr>
              </pic:pic>
            </a:graphicData>
          </a:graphic>
        </wp:inline>
      </w:drawing>
    </w:r>
  </w:p>
  <w:p w14:paraId="0CE3A459" w14:textId="77777777" w:rsidR="00B8239D" w:rsidRDefault="00B8239D" w:rsidP="00B7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45A6" w14:textId="77777777" w:rsidR="00ED475E" w:rsidRDefault="00ED475E" w:rsidP="00B72EF8">
      <w:r>
        <w:separator/>
      </w:r>
    </w:p>
    <w:p w14:paraId="07E39E44" w14:textId="77777777" w:rsidR="00ED475E" w:rsidRDefault="00ED475E" w:rsidP="00B72EF8"/>
  </w:footnote>
  <w:footnote w:type="continuationSeparator" w:id="0">
    <w:p w14:paraId="7782996A" w14:textId="77777777" w:rsidR="00ED475E" w:rsidRDefault="00ED475E" w:rsidP="00B72EF8">
      <w:r>
        <w:continuationSeparator/>
      </w:r>
    </w:p>
    <w:p w14:paraId="684471DD" w14:textId="77777777" w:rsidR="00ED475E" w:rsidRDefault="00ED475E" w:rsidP="00B72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7E5"/>
    <w:multiLevelType w:val="hybridMultilevel"/>
    <w:tmpl w:val="8D1878E8"/>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F6390A"/>
    <w:multiLevelType w:val="hybridMultilevel"/>
    <w:tmpl w:val="38965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606D5A"/>
    <w:multiLevelType w:val="hybridMultilevel"/>
    <w:tmpl w:val="C32C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03353"/>
    <w:multiLevelType w:val="hybridMultilevel"/>
    <w:tmpl w:val="52E4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161F"/>
    <w:multiLevelType w:val="hybridMultilevel"/>
    <w:tmpl w:val="8D1878E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ED2875"/>
    <w:multiLevelType w:val="hybridMultilevel"/>
    <w:tmpl w:val="76201CF0"/>
    <w:lvl w:ilvl="0" w:tplc="04090001">
      <w:start w:val="1"/>
      <w:numFmt w:val="bullet"/>
      <w:lvlText w:val=""/>
      <w:lvlJc w:val="left"/>
      <w:pPr>
        <w:ind w:left="720" w:hanging="360"/>
      </w:pPr>
      <w:rPr>
        <w:rFonts w:ascii="Symbol" w:hAnsi="Symbol" w:hint="default"/>
      </w:rPr>
    </w:lvl>
    <w:lvl w:ilvl="1" w:tplc="6E24EECC">
      <w:numFmt w:val="bullet"/>
      <w:lvlText w:val="•"/>
      <w:lvlJc w:val="left"/>
      <w:pPr>
        <w:ind w:left="1800" w:hanging="720"/>
      </w:pPr>
      <w:rPr>
        <w:rFonts w:ascii="Lato" w:eastAsiaTheme="minorEastAsia" w:hAnsi="Lato"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30E3"/>
    <w:multiLevelType w:val="hybridMultilevel"/>
    <w:tmpl w:val="7CD4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F213E"/>
    <w:multiLevelType w:val="hybridMultilevel"/>
    <w:tmpl w:val="8D1878E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20BFC"/>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B2342"/>
    <w:multiLevelType w:val="hybridMultilevel"/>
    <w:tmpl w:val="C7B6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716DE"/>
    <w:multiLevelType w:val="hybridMultilevel"/>
    <w:tmpl w:val="6926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7005C"/>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B7314"/>
    <w:multiLevelType w:val="hybridMultilevel"/>
    <w:tmpl w:val="0B92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87741"/>
    <w:multiLevelType w:val="hybridMultilevel"/>
    <w:tmpl w:val="8BEE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D42C8"/>
    <w:multiLevelType w:val="multilevel"/>
    <w:tmpl w:val="6814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81326"/>
    <w:multiLevelType w:val="hybridMultilevel"/>
    <w:tmpl w:val="97204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8B54740"/>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76BCC"/>
    <w:multiLevelType w:val="hybridMultilevel"/>
    <w:tmpl w:val="8D1878E8"/>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4F5319"/>
    <w:multiLevelType w:val="hybridMultilevel"/>
    <w:tmpl w:val="4A669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1AA4B2F"/>
    <w:multiLevelType w:val="hybridMultilevel"/>
    <w:tmpl w:val="0364970C"/>
    <w:lvl w:ilvl="0" w:tplc="22D6C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5150E6"/>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96C41"/>
    <w:multiLevelType w:val="hybridMultilevel"/>
    <w:tmpl w:val="A754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87D79"/>
    <w:multiLevelType w:val="hybridMultilevel"/>
    <w:tmpl w:val="C200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86654"/>
    <w:multiLevelType w:val="hybridMultilevel"/>
    <w:tmpl w:val="FF52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67F"/>
    <w:multiLevelType w:val="hybridMultilevel"/>
    <w:tmpl w:val="B3425EB8"/>
    <w:styleLink w:val="Dash"/>
    <w:lvl w:ilvl="0" w:tplc="528E95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B8C1E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3A5D5E">
      <w:start w:val="1"/>
      <w:numFmt w:val="bullet"/>
      <w:lvlText w:val="-"/>
      <w:lvlJc w:val="left"/>
      <w:pPr>
        <w:tabs>
          <w:tab w:val="left" w:pos="3347"/>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B788C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22E02F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93822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F52E4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2CA73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2127F0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5" w15:restartNumberingAfterBreak="0">
    <w:nsid w:val="5AC6194A"/>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82C68"/>
    <w:multiLevelType w:val="hybridMultilevel"/>
    <w:tmpl w:val="9D6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A2256"/>
    <w:multiLevelType w:val="hybridMultilevel"/>
    <w:tmpl w:val="CBB0B8CE"/>
    <w:lvl w:ilvl="0" w:tplc="613813CE">
      <w:start w:val="1"/>
      <w:numFmt w:val="decimal"/>
      <w:lvlText w:val="%1."/>
      <w:lvlJc w:val="left"/>
      <w:pPr>
        <w:ind w:left="1020" w:hanging="360"/>
      </w:pPr>
    </w:lvl>
    <w:lvl w:ilvl="1" w:tplc="42308756">
      <w:start w:val="1"/>
      <w:numFmt w:val="decimal"/>
      <w:lvlText w:val="%2."/>
      <w:lvlJc w:val="left"/>
      <w:pPr>
        <w:ind w:left="1020" w:hanging="360"/>
      </w:pPr>
    </w:lvl>
    <w:lvl w:ilvl="2" w:tplc="5CEEAA80">
      <w:start w:val="1"/>
      <w:numFmt w:val="decimal"/>
      <w:lvlText w:val="%3."/>
      <w:lvlJc w:val="left"/>
      <w:pPr>
        <w:ind w:left="1020" w:hanging="360"/>
      </w:pPr>
    </w:lvl>
    <w:lvl w:ilvl="3" w:tplc="72989068">
      <w:start w:val="1"/>
      <w:numFmt w:val="decimal"/>
      <w:lvlText w:val="%4."/>
      <w:lvlJc w:val="left"/>
      <w:pPr>
        <w:ind w:left="1020" w:hanging="360"/>
      </w:pPr>
    </w:lvl>
    <w:lvl w:ilvl="4" w:tplc="9356B374">
      <w:start w:val="1"/>
      <w:numFmt w:val="decimal"/>
      <w:lvlText w:val="%5."/>
      <w:lvlJc w:val="left"/>
      <w:pPr>
        <w:ind w:left="1020" w:hanging="360"/>
      </w:pPr>
    </w:lvl>
    <w:lvl w:ilvl="5" w:tplc="08527DF6">
      <w:start w:val="1"/>
      <w:numFmt w:val="decimal"/>
      <w:lvlText w:val="%6."/>
      <w:lvlJc w:val="left"/>
      <w:pPr>
        <w:ind w:left="1020" w:hanging="360"/>
      </w:pPr>
    </w:lvl>
    <w:lvl w:ilvl="6" w:tplc="AAD400DE">
      <w:start w:val="1"/>
      <w:numFmt w:val="decimal"/>
      <w:lvlText w:val="%7."/>
      <w:lvlJc w:val="left"/>
      <w:pPr>
        <w:ind w:left="1020" w:hanging="360"/>
      </w:pPr>
    </w:lvl>
    <w:lvl w:ilvl="7" w:tplc="C05E697C">
      <w:start w:val="1"/>
      <w:numFmt w:val="decimal"/>
      <w:lvlText w:val="%8."/>
      <w:lvlJc w:val="left"/>
      <w:pPr>
        <w:ind w:left="1020" w:hanging="360"/>
      </w:pPr>
    </w:lvl>
    <w:lvl w:ilvl="8" w:tplc="2D3A8D4E">
      <w:start w:val="1"/>
      <w:numFmt w:val="decimal"/>
      <w:lvlText w:val="%9."/>
      <w:lvlJc w:val="left"/>
      <w:pPr>
        <w:ind w:left="1020" w:hanging="360"/>
      </w:pPr>
    </w:lvl>
  </w:abstractNum>
  <w:abstractNum w:abstractNumId="28" w15:restartNumberingAfterBreak="0">
    <w:nsid w:val="667B4A70"/>
    <w:multiLevelType w:val="hybridMultilevel"/>
    <w:tmpl w:val="CF9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C0CD0"/>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667C6"/>
    <w:multiLevelType w:val="hybridMultilevel"/>
    <w:tmpl w:val="BD1C7DE4"/>
    <w:lvl w:ilvl="0" w:tplc="74AA264E">
      <w:start w:val="1"/>
      <w:numFmt w:val="decimal"/>
      <w:pStyle w:val="Heading2"/>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34385D"/>
    <w:multiLevelType w:val="hybridMultilevel"/>
    <w:tmpl w:val="214A756A"/>
    <w:lvl w:ilvl="0" w:tplc="141CDDA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927EE"/>
    <w:multiLevelType w:val="multilevel"/>
    <w:tmpl w:val="1B7A9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B05B0"/>
    <w:multiLevelType w:val="hybridMultilevel"/>
    <w:tmpl w:val="DD56EC3C"/>
    <w:styleLink w:val="Bullet"/>
    <w:lvl w:ilvl="0" w:tplc="6C848FC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1787C7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BD2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9E09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C4405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3724C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56465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03056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5940B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4" w15:restartNumberingAfterBreak="0">
    <w:nsid w:val="7E3508A6"/>
    <w:multiLevelType w:val="multilevel"/>
    <w:tmpl w:val="0236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C1AD3"/>
    <w:multiLevelType w:val="hybridMultilevel"/>
    <w:tmpl w:val="6E866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814A9A"/>
    <w:multiLevelType w:val="multilevel"/>
    <w:tmpl w:val="53A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342124">
    <w:abstractNumId w:val="33"/>
  </w:num>
  <w:num w:numId="2" w16cid:durableId="1285771429">
    <w:abstractNumId w:val="24"/>
  </w:num>
  <w:num w:numId="3" w16cid:durableId="1776632117">
    <w:abstractNumId w:val="34"/>
  </w:num>
  <w:num w:numId="4" w16cid:durableId="2123835562">
    <w:abstractNumId w:val="25"/>
  </w:num>
  <w:num w:numId="5" w16cid:durableId="1529876831">
    <w:abstractNumId w:val="17"/>
  </w:num>
  <w:num w:numId="6" w16cid:durableId="1363625550">
    <w:abstractNumId w:val="32"/>
  </w:num>
  <w:num w:numId="7" w16cid:durableId="874000882">
    <w:abstractNumId w:val="5"/>
  </w:num>
  <w:num w:numId="8" w16cid:durableId="1817333487">
    <w:abstractNumId w:val="30"/>
    <w:lvlOverride w:ilvl="0">
      <w:startOverride w:val="1"/>
    </w:lvlOverride>
  </w:num>
  <w:num w:numId="9" w16cid:durableId="813332736">
    <w:abstractNumId w:val="26"/>
  </w:num>
  <w:num w:numId="10" w16cid:durableId="1462920910">
    <w:abstractNumId w:val="21"/>
  </w:num>
  <w:num w:numId="11" w16cid:durableId="1708021177">
    <w:abstractNumId w:val="13"/>
  </w:num>
  <w:num w:numId="12" w16cid:durableId="175316014">
    <w:abstractNumId w:val="2"/>
  </w:num>
  <w:num w:numId="13" w16cid:durableId="6760759">
    <w:abstractNumId w:val="9"/>
  </w:num>
  <w:num w:numId="14" w16cid:durableId="1224218522">
    <w:abstractNumId w:val="28"/>
  </w:num>
  <w:num w:numId="15" w16cid:durableId="751320523">
    <w:abstractNumId w:val="6"/>
  </w:num>
  <w:num w:numId="16" w16cid:durableId="1583486800">
    <w:abstractNumId w:val="12"/>
  </w:num>
  <w:num w:numId="17" w16cid:durableId="840855619">
    <w:abstractNumId w:val="3"/>
  </w:num>
  <w:num w:numId="18" w16cid:durableId="1560481071">
    <w:abstractNumId w:val="30"/>
  </w:num>
  <w:num w:numId="19" w16cid:durableId="1688368835">
    <w:abstractNumId w:val="31"/>
  </w:num>
  <w:num w:numId="20" w16cid:durableId="1955674964">
    <w:abstractNumId w:val="22"/>
  </w:num>
  <w:num w:numId="21" w16cid:durableId="1973898536">
    <w:abstractNumId w:val="10"/>
  </w:num>
  <w:num w:numId="22" w16cid:durableId="70129284">
    <w:abstractNumId w:val="30"/>
    <w:lvlOverride w:ilvl="0">
      <w:startOverride w:val="6"/>
    </w:lvlOverride>
  </w:num>
  <w:num w:numId="23" w16cid:durableId="202334297">
    <w:abstractNumId w:val="30"/>
    <w:lvlOverride w:ilvl="0">
      <w:startOverride w:val="4"/>
    </w:lvlOverride>
  </w:num>
  <w:num w:numId="24" w16cid:durableId="2079816750">
    <w:abstractNumId w:val="18"/>
  </w:num>
  <w:num w:numId="25" w16cid:durableId="1097873982">
    <w:abstractNumId w:val="27"/>
  </w:num>
  <w:num w:numId="26" w16cid:durableId="369457590">
    <w:abstractNumId w:val="36"/>
  </w:num>
  <w:num w:numId="27" w16cid:durableId="1854300185">
    <w:abstractNumId w:val="14"/>
  </w:num>
  <w:num w:numId="28" w16cid:durableId="1647129799">
    <w:abstractNumId w:val="19"/>
  </w:num>
  <w:num w:numId="29" w16cid:durableId="286620519">
    <w:abstractNumId w:val="11"/>
  </w:num>
  <w:num w:numId="30" w16cid:durableId="1728449508">
    <w:abstractNumId w:val="7"/>
  </w:num>
  <w:num w:numId="31" w16cid:durableId="1150362874">
    <w:abstractNumId w:val="0"/>
  </w:num>
  <w:num w:numId="32" w16cid:durableId="2061512211">
    <w:abstractNumId w:val="20"/>
  </w:num>
  <w:num w:numId="33" w16cid:durableId="838471277">
    <w:abstractNumId w:val="8"/>
  </w:num>
  <w:num w:numId="34" w16cid:durableId="2095735296">
    <w:abstractNumId w:val="23"/>
  </w:num>
  <w:num w:numId="35" w16cid:durableId="660348964">
    <w:abstractNumId w:val="15"/>
  </w:num>
  <w:num w:numId="36" w16cid:durableId="323750611">
    <w:abstractNumId w:val="29"/>
  </w:num>
  <w:num w:numId="37" w16cid:durableId="2132820621">
    <w:abstractNumId w:val="35"/>
  </w:num>
  <w:num w:numId="38" w16cid:durableId="1998337082">
    <w:abstractNumId w:val="1"/>
  </w:num>
  <w:num w:numId="39" w16cid:durableId="47848694">
    <w:abstractNumId w:val="4"/>
  </w:num>
  <w:num w:numId="40" w16cid:durableId="850610013">
    <w:abstractNumId w:val="16"/>
  </w:num>
  <w:num w:numId="41" w16cid:durableId="799500198">
    <w:abstractNumId w:val="3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86"/>
    <w:rsid w:val="00000AC4"/>
    <w:rsid w:val="000131B6"/>
    <w:rsid w:val="00014F06"/>
    <w:rsid w:val="000207F1"/>
    <w:rsid w:val="00034B29"/>
    <w:rsid w:val="0004293F"/>
    <w:rsid w:val="0004366B"/>
    <w:rsid w:val="00053DD1"/>
    <w:rsid w:val="0006041D"/>
    <w:rsid w:val="00064836"/>
    <w:rsid w:val="000677A8"/>
    <w:rsid w:val="00071215"/>
    <w:rsid w:val="00080E70"/>
    <w:rsid w:val="000942E9"/>
    <w:rsid w:val="000A2CBE"/>
    <w:rsid w:val="000B297E"/>
    <w:rsid w:val="000B5C24"/>
    <w:rsid w:val="000B76A4"/>
    <w:rsid w:val="000C3E44"/>
    <w:rsid w:val="000C3FE6"/>
    <w:rsid w:val="000D6688"/>
    <w:rsid w:val="000E4B2E"/>
    <w:rsid w:val="000E7E1E"/>
    <w:rsid w:val="00104B5C"/>
    <w:rsid w:val="00114B3A"/>
    <w:rsid w:val="001166DA"/>
    <w:rsid w:val="00116F52"/>
    <w:rsid w:val="0012282B"/>
    <w:rsid w:val="0012382C"/>
    <w:rsid w:val="00140007"/>
    <w:rsid w:val="00140454"/>
    <w:rsid w:val="00142073"/>
    <w:rsid w:val="001601F5"/>
    <w:rsid w:val="001605D9"/>
    <w:rsid w:val="00163115"/>
    <w:rsid w:val="00163AF1"/>
    <w:rsid w:val="00163D3F"/>
    <w:rsid w:val="00171738"/>
    <w:rsid w:val="00172671"/>
    <w:rsid w:val="00174B0C"/>
    <w:rsid w:val="0017642F"/>
    <w:rsid w:val="001775BF"/>
    <w:rsid w:val="00183ED0"/>
    <w:rsid w:val="00194813"/>
    <w:rsid w:val="00194E24"/>
    <w:rsid w:val="001A25D3"/>
    <w:rsid w:val="001A28A5"/>
    <w:rsid w:val="001A2E9A"/>
    <w:rsid w:val="001B2652"/>
    <w:rsid w:val="001B5058"/>
    <w:rsid w:val="001B558B"/>
    <w:rsid w:val="001B672F"/>
    <w:rsid w:val="001F6071"/>
    <w:rsid w:val="0020540C"/>
    <w:rsid w:val="00212E7F"/>
    <w:rsid w:val="00217616"/>
    <w:rsid w:val="00231BF1"/>
    <w:rsid w:val="002418BB"/>
    <w:rsid w:val="002426B4"/>
    <w:rsid w:val="00266FE6"/>
    <w:rsid w:val="00271A38"/>
    <w:rsid w:val="002755A0"/>
    <w:rsid w:val="00280CAD"/>
    <w:rsid w:val="00292B93"/>
    <w:rsid w:val="002A45A6"/>
    <w:rsid w:val="002B1D46"/>
    <w:rsid w:val="002B62B7"/>
    <w:rsid w:val="002C4904"/>
    <w:rsid w:val="002C5E3A"/>
    <w:rsid w:val="002C6847"/>
    <w:rsid w:val="002C6A27"/>
    <w:rsid w:val="002D23E6"/>
    <w:rsid w:val="002D4181"/>
    <w:rsid w:val="002D72DE"/>
    <w:rsid w:val="002E1998"/>
    <w:rsid w:val="002E39FF"/>
    <w:rsid w:val="002E6DE3"/>
    <w:rsid w:val="002F4446"/>
    <w:rsid w:val="0030082A"/>
    <w:rsid w:val="00302833"/>
    <w:rsid w:val="00302C70"/>
    <w:rsid w:val="00312CC6"/>
    <w:rsid w:val="00313B63"/>
    <w:rsid w:val="00314E3F"/>
    <w:rsid w:val="00316FFC"/>
    <w:rsid w:val="003207E3"/>
    <w:rsid w:val="00321B7B"/>
    <w:rsid w:val="00322BF3"/>
    <w:rsid w:val="00323326"/>
    <w:rsid w:val="00327F10"/>
    <w:rsid w:val="00330B2F"/>
    <w:rsid w:val="00332E7A"/>
    <w:rsid w:val="00344F77"/>
    <w:rsid w:val="003456EB"/>
    <w:rsid w:val="0034639E"/>
    <w:rsid w:val="003614DC"/>
    <w:rsid w:val="00362FF9"/>
    <w:rsid w:val="00364988"/>
    <w:rsid w:val="00370789"/>
    <w:rsid w:val="0038060F"/>
    <w:rsid w:val="003811E1"/>
    <w:rsid w:val="003818F1"/>
    <w:rsid w:val="00387737"/>
    <w:rsid w:val="00392D62"/>
    <w:rsid w:val="003A761A"/>
    <w:rsid w:val="003B0873"/>
    <w:rsid w:val="003B216A"/>
    <w:rsid w:val="003B2FB2"/>
    <w:rsid w:val="003B6345"/>
    <w:rsid w:val="003C0001"/>
    <w:rsid w:val="003C3066"/>
    <w:rsid w:val="003C6F98"/>
    <w:rsid w:val="003D0FB0"/>
    <w:rsid w:val="003D13FE"/>
    <w:rsid w:val="003D635D"/>
    <w:rsid w:val="003D7691"/>
    <w:rsid w:val="003E3D75"/>
    <w:rsid w:val="003E7840"/>
    <w:rsid w:val="004051B2"/>
    <w:rsid w:val="00410A86"/>
    <w:rsid w:val="00413DB3"/>
    <w:rsid w:val="00417015"/>
    <w:rsid w:val="00417F5F"/>
    <w:rsid w:val="0042509B"/>
    <w:rsid w:val="00426121"/>
    <w:rsid w:val="004270B4"/>
    <w:rsid w:val="004336A3"/>
    <w:rsid w:val="0044139D"/>
    <w:rsid w:val="00455544"/>
    <w:rsid w:val="00463C13"/>
    <w:rsid w:val="00473351"/>
    <w:rsid w:val="00475DBC"/>
    <w:rsid w:val="004825C6"/>
    <w:rsid w:val="0048542D"/>
    <w:rsid w:val="0049458C"/>
    <w:rsid w:val="004957B7"/>
    <w:rsid w:val="004A06E0"/>
    <w:rsid w:val="004A2114"/>
    <w:rsid w:val="004A3E8F"/>
    <w:rsid w:val="004B36B0"/>
    <w:rsid w:val="004C0369"/>
    <w:rsid w:val="004C1A7F"/>
    <w:rsid w:val="004C239B"/>
    <w:rsid w:val="004D5654"/>
    <w:rsid w:val="004D633D"/>
    <w:rsid w:val="004D7A69"/>
    <w:rsid w:val="004F12C8"/>
    <w:rsid w:val="004F211F"/>
    <w:rsid w:val="004F6B9D"/>
    <w:rsid w:val="00500B87"/>
    <w:rsid w:val="00502FAA"/>
    <w:rsid w:val="00504245"/>
    <w:rsid w:val="00504340"/>
    <w:rsid w:val="005053C3"/>
    <w:rsid w:val="00505B18"/>
    <w:rsid w:val="00522347"/>
    <w:rsid w:val="005225DB"/>
    <w:rsid w:val="00523695"/>
    <w:rsid w:val="00523A20"/>
    <w:rsid w:val="00524972"/>
    <w:rsid w:val="00527222"/>
    <w:rsid w:val="00532A89"/>
    <w:rsid w:val="005379E1"/>
    <w:rsid w:val="005447EF"/>
    <w:rsid w:val="00552543"/>
    <w:rsid w:val="005540A8"/>
    <w:rsid w:val="005636D9"/>
    <w:rsid w:val="00582D32"/>
    <w:rsid w:val="005901D8"/>
    <w:rsid w:val="005A5310"/>
    <w:rsid w:val="005B171D"/>
    <w:rsid w:val="005B610F"/>
    <w:rsid w:val="005B6833"/>
    <w:rsid w:val="005C1149"/>
    <w:rsid w:val="005C1594"/>
    <w:rsid w:val="005C3DA4"/>
    <w:rsid w:val="005D0AF6"/>
    <w:rsid w:val="005E50FD"/>
    <w:rsid w:val="005E52EF"/>
    <w:rsid w:val="005E667D"/>
    <w:rsid w:val="005F2A19"/>
    <w:rsid w:val="005F4A8A"/>
    <w:rsid w:val="005F5180"/>
    <w:rsid w:val="005F636C"/>
    <w:rsid w:val="005F7815"/>
    <w:rsid w:val="006015A1"/>
    <w:rsid w:val="0061618D"/>
    <w:rsid w:val="00617066"/>
    <w:rsid w:val="006178C7"/>
    <w:rsid w:val="006209B3"/>
    <w:rsid w:val="00621225"/>
    <w:rsid w:val="00621391"/>
    <w:rsid w:val="00626042"/>
    <w:rsid w:val="00632323"/>
    <w:rsid w:val="006323A8"/>
    <w:rsid w:val="00632469"/>
    <w:rsid w:val="006361A8"/>
    <w:rsid w:val="00641D05"/>
    <w:rsid w:val="00643F7A"/>
    <w:rsid w:val="00645C0C"/>
    <w:rsid w:val="006528BD"/>
    <w:rsid w:val="006654AB"/>
    <w:rsid w:val="00666F5C"/>
    <w:rsid w:val="00671B34"/>
    <w:rsid w:val="006747BF"/>
    <w:rsid w:val="00675EEE"/>
    <w:rsid w:val="006833E2"/>
    <w:rsid w:val="00684BE9"/>
    <w:rsid w:val="00685F65"/>
    <w:rsid w:val="00685F81"/>
    <w:rsid w:val="0069152B"/>
    <w:rsid w:val="00695555"/>
    <w:rsid w:val="0069593B"/>
    <w:rsid w:val="006A756F"/>
    <w:rsid w:val="006C0A10"/>
    <w:rsid w:val="006C4A8A"/>
    <w:rsid w:val="006C6A20"/>
    <w:rsid w:val="006D369A"/>
    <w:rsid w:val="006D4327"/>
    <w:rsid w:val="006E0072"/>
    <w:rsid w:val="006E1055"/>
    <w:rsid w:val="006E42AF"/>
    <w:rsid w:val="006E69FA"/>
    <w:rsid w:val="006F0610"/>
    <w:rsid w:val="006F1179"/>
    <w:rsid w:val="006F219A"/>
    <w:rsid w:val="00702CBA"/>
    <w:rsid w:val="00703F2C"/>
    <w:rsid w:val="00720D4B"/>
    <w:rsid w:val="007234E0"/>
    <w:rsid w:val="00730EDA"/>
    <w:rsid w:val="00732D2E"/>
    <w:rsid w:val="00737355"/>
    <w:rsid w:val="00737360"/>
    <w:rsid w:val="007406E3"/>
    <w:rsid w:val="00740894"/>
    <w:rsid w:val="0074548D"/>
    <w:rsid w:val="007474DD"/>
    <w:rsid w:val="0075169C"/>
    <w:rsid w:val="0077298F"/>
    <w:rsid w:val="007803F6"/>
    <w:rsid w:val="007809A2"/>
    <w:rsid w:val="00780B4F"/>
    <w:rsid w:val="00785094"/>
    <w:rsid w:val="00785A12"/>
    <w:rsid w:val="00792A06"/>
    <w:rsid w:val="00792C86"/>
    <w:rsid w:val="007A0011"/>
    <w:rsid w:val="007A0E12"/>
    <w:rsid w:val="007B179B"/>
    <w:rsid w:val="007B4252"/>
    <w:rsid w:val="007B4FF9"/>
    <w:rsid w:val="007B68B0"/>
    <w:rsid w:val="007B6CAD"/>
    <w:rsid w:val="007C2B94"/>
    <w:rsid w:val="007C4E34"/>
    <w:rsid w:val="007D252B"/>
    <w:rsid w:val="007E1CEB"/>
    <w:rsid w:val="007E386A"/>
    <w:rsid w:val="007F35F7"/>
    <w:rsid w:val="007F4AF2"/>
    <w:rsid w:val="0080090F"/>
    <w:rsid w:val="00803964"/>
    <w:rsid w:val="00805B60"/>
    <w:rsid w:val="00831BC4"/>
    <w:rsid w:val="00833E4B"/>
    <w:rsid w:val="0083575F"/>
    <w:rsid w:val="008366E0"/>
    <w:rsid w:val="008409AF"/>
    <w:rsid w:val="00842C11"/>
    <w:rsid w:val="008434EE"/>
    <w:rsid w:val="00843A31"/>
    <w:rsid w:val="0085399A"/>
    <w:rsid w:val="00862A84"/>
    <w:rsid w:val="008642EA"/>
    <w:rsid w:val="00874208"/>
    <w:rsid w:val="0087669A"/>
    <w:rsid w:val="00876BED"/>
    <w:rsid w:val="0087732B"/>
    <w:rsid w:val="00885134"/>
    <w:rsid w:val="00886538"/>
    <w:rsid w:val="00887660"/>
    <w:rsid w:val="008910B7"/>
    <w:rsid w:val="0089582B"/>
    <w:rsid w:val="008A09A1"/>
    <w:rsid w:val="008A0E79"/>
    <w:rsid w:val="008A5828"/>
    <w:rsid w:val="008B03F9"/>
    <w:rsid w:val="008B7755"/>
    <w:rsid w:val="008C0223"/>
    <w:rsid w:val="008D0351"/>
    <w:rsid w:val="008D1FBA"/>
    <w:rsid w:val="008D243A"/>
    <w:rsid w:val="008E3437"/>
    <w:rsid w:val="008E7803"/>
    <w:rsid w:val="008F12C8"/>
    <w:rsid w:val="008F31A1"/>
    <w:rsid w:val="00900644"/>
    <w:rsid w:val="009053AC"/>
    <w:rsid w:val="00907CC5"/>
    <w:rsid w:val="009137D5"/>
    <w:rsid w:val="0092152C"/>
    <w:rsid w:val="00925312"/>
    <w:rsid w:val="009325A1"/>
    <w:rsid w:val="00935461"/>
    <w:rsid w:val="00946E2A"/>
    <w:rsid w:val="009535E1"/>
    <w:rsid w:val="00962266"/>
    <w:rsid w:val="00983A0C"/>
    <w:rsid w:val="00986C7F"/>
    <w:rsid w:val="00987FF3"/>
    <w:rsid w:val="00995C0E"/>
    <w:rsid w:val="00997CD3"/>
    <w:rsid w:val="009A4FD3"/>
    <w:rsid w:val="009B3BE0"/>
    <w:rsid w:val="009B5F28"/>
    <w:rsid w:val="009B74D0"/>
    <w:rsid w:val="009C0260"/>
    <w:rsid w:val="009C16AD"/>
    <w:rsid w:val="009C6CCF"/>
    <w:rsid w:val="009D1EF5"/>
    <w:rsid w:val="009D2077"/>
    <w:rsid w:val="009D20AB"/>
    <w:rsid w:val="009D35B4"/>
    <w:rsid w:val="009E0E35"/>
    <w:rsid w:val="009E4CF0"/>
    <w:rsid w:val="009F2D5A"/>
    <w:rsid w:val="00A0713A"/>
    <w:rsid w:val="00A14008"/>
    <w:rsid w:val="00A146A4"/>
    <w:rsid w:val="00A15E83"/>
    <w:rsid w:val="00A22B25"/>
    <w:rsid w:val="00A26149"/>
    <w:rsid w:val="00A41404"/>
    <w:rsid w:val="00A42599"/>
    <w:rsid w:val="00A460F0"/>
    <w:rsid w:val="00A463BB"/>
    <w:rsid w:val="00A479C6"/>
    <w:rsid w:val="00A505CB"/>
    <w:rsid w:val="00A62276"/>
    <w:rsid w:val="00A662C2"/>
    <w:rsid w:val="00A73FAB"/>
    <w:rsid w:val="00A802B3"/>
    <w:rsid w:val="00A81F5A"/>
    <w:rsid w:val="00A82DA3"/>
    <w:rsid w:val="00A8651B"/>
    <w:rsid w:val="00A91CCD"/>
    <w:rsid w:val="00AA5376"/>
    <w:rsid w:val="00AB2512"/>
    <w:rsid w:val="00AC0296"/>
    <w:rsid w:val="00AC0D78"/>
    <w:rsid w:val="00AC2A15"/>
    <w:rsid w:val="00AC51AF"/>
    <w:rsid w:val="00AC58DC"/>
    <w:rsid w:val="00AC7463"/>
    <w:rsid w:val="00AD7516"/>
    <w:rsid w:val="00AE4CD6"/>
    <w:rsid w:val="00AF74CA"/>
    <w:rsid w:val="00B00BAE"/>
    <w:rsid w:val="00B07FAC"/>
    <w:rsid w:val="00B15FA1"/>
    <w:rsid w:val="00B26584"/>
    <w:rsid w:val="00B265FC"/>
    <w:rsid w:val="00B26BB9"/>
    <w:rsid w:val="00B476DE"/>
    <w:rsid w:val="00B6055B"/>
    <w:rsid w:val="00B62FE1"/>
    <w:rsid w:val="00B644D2"/>
    <w:rsid w:val="00B70F41"/>
    <w:rsid w:val="00B72EF8"/>
    <w:rsid w:val="00B8163B"/>
    <w:rsid w:val="00B8239D"/>
    <w:rsid w:val="00B8266E"/>
    <w:rsid w:val="00B830C6"/>
    <w:rsid w:val="00B8540B"/>
    <w:rsid w:val="00B931F2"/>
    <w:rsid w:val="00B93C41"/>
    <w:rsid w:val="00B96252"/>
    <w:rsid w:val="00B9767E"/>
    <w:rsid w:val="00BA03FE"/>
    <w:rsid w:val="00BB1C32"/>
    <w:rsid w:val="00BB272D"/>
    <w:rsid w:val="00BC583B"/>
    <w:rsid w:val="00BD1649"/>
    <w:rsid w:val="00BD27CB"/>
    <w:rsid w:val="00BD332C"/>
    <w:rsid w:val="00C02849"/>
    <w:rsid w:val="00C05671"/>
    <w:rsid w:val="00C15C63"/>
    <w:rsid w:val="00C20739"/>
    <w:rsid w:val="00C21480"/>
    <w:rsid w:val="00C26CC6"/>
    <w:rsid w:val="00C3132C"/>
    <w:rsid w:val="00C31B26"/>
    <w:rsid w:val="00C31D24"/>
    <w:rsid w:val="00C35F4C"/>
    <w:rsid w:val="00C45906"/>
    <w:rsid w:val="00C459D3"/>
    <w:rsid w:val="00C47C72"/>
    <w:rsid w:val="00C5207B"/>
    <w:rsid w:val="00C63182"/>
    <w:rsid w:val="00C72DBF"/>
    <w:rsid w:val="00C764C6"/>
    <w:rsid w:val="00C84A9A"/>
    <w:rsid w:val="00C957B6"/>
    <w:rsid w:val="00CB5AF8"/>
    <w:rsid w:val="00CC11D7"/>
    <w:rsid w:val="00CC793D"/>
    <w:rsid w:val="00CD62EE"/>
    <w:rsid w:val="00CE5B34"/>
    <w:rsid w:val="00CF46F8"/>
    <w:rsid w:val="00CF79EA"/>
    <w:rsid w:val="00D025A1"/>
    <w:rsid w:val="00D10A3E"/>
    <w:rsid w:val="00D11595"/>
    <w:rsid w:val="00D172FA"/>
    <w:rsid w:val="00D17B41"/>
    <w:rsid w:val="00D220B9"/>
    <w:rsid w:val="00D2725F"/>
    <w:rsid w:val="00D30D59"/>
    <w:rsid w:val="00D31AF7"/>
    <w:rsid w:val="00D35CB4"/>
    <w:rsid w:val="00D3626D"/>
    <w:rsid w:val="00D40603"/>
    <w:rsid w:val="00D40BE7"/>
    <w:rsid w:val="00D41732"/>
    <w:rsid w:val="00D44983"/>
    <w:rsid w:val="00D45245"/>
    <w:rsid w:val="00D52B8C"/>
    <w:rsid w:val="00D570C5"/>
    <w:rsid w:val="00D66B3D"/>
    <w:rsid w:val="00D72FA5"/>
    <w:rsid w:val="00D74F3F"/>
    <w:rsid w:val="00D75327"/>
    <w:rsid w:val="00D76E85"/>
    <w:rsid w:val="00D80DBD"/>
    <w:rsid w:val="00D81485"/>
    <w:rsid w:val="00D81792"/>
    <w:rsid w:val="00D81B8C"/>
    <w:rsid w:val="00D824AB"/>
    <w:rsid w:val="00D862F8"/>
    <w:rsid w:val="00D86569"/>
    <w:rsid w:val="00D9226D"/>
    <w:rsid w:val="00D92ECF"/>
    <w:rsid w:val="00DA18DA"/>
    <w:rsid w:val="00DA4DBB"/>
    <w:rsid w:val="00DA692E"/>
    <w:rsid w:val="00DB180A"/>
    <w:rsid w:val="00DB1FA5"/>
    <w:rsid w:val="00DB3E32"/>
    <w:rsid w:val="00DB5EAC"/>
    <w:rsid w:val="00DB74EC"/>
    <w:rsid w:val="00DC6048"/>
    <w:rsid w:val="00DD0C67"/>
    <w:rsid w:val="00DD27AC"/>
    <w:rsid w:val="00DE1CAA"/>
    <w:rsid w:val="00DF0656"/>
    <w:rsid w:val="00DF0A90"/>
    <w:rsid w:val="00DF46A2"/>
    <w:rsid w:val="00DF79AF"/>
    <w:rsid w:val="00E021F9"/>
    <w:rsid w:val="00E059D4"/>
    <w:rsid w:val="00E06D54"/>
    <w:rsid w:val="00E14DE2"/>
    <w:rsid w:val="00E16337"/>
    <w:rsid w:val="00E16544"/>
    <w:rsid w:val="00E16636"/>
    <w:rsid w:val="00E21404"/>
    <w:rsid w:val="00E21FEA"/>
    <w:rsid w:val="00E35567"/>
    <w:rsid w:val="00E362C0"/>
    <w:rsid w:val="00E37512"/>
    <w:rsid w:val="00E5239B"/>
    <w:rsid w:val="00E6357B"/>
    <w:rsid w:val="00E65F4C"/>
    <w:rsid w:val="00E7035A"/>
    <w:rsid w:val="00E7356B"/>
    <w:rsid w:val="00E81DC2"/>
    <w:rsid w:val="00E850DE"/>
    <w:rsid w:val="00EA0327"/>
    <w:rsid w:val="00EA03C3"/>
    <w:rsid w:val="00EA170B"/>
    <w:rsid w:val="00EA3E96"/>
    <w:rsid w:val="00EB295A"/>
    <w:rsid w:val="00EB3D70"/>
    <w:rsid w:val="00EC2895"/>
    <w:rsid w:val="00EC547A"/>
    <w:rsid w:val="00EC6670"/>
    <w:rsid w:val="00ED475E"/>
    <w:rsid w:val="00ED7C03"/>
    <w:rsid w:val="00EE1D56"/>
    <w:rsid w:val="00EE4E48"/>
    <w:rsid w:val="00EE7FAF"/>
    <w:rsid w:val="00EF25C1"/>
    <w:rsid w:val="00F035AB"/>
    <w:rsid w:val="00F0428D"/>
    <w:rsid w:val="00F1631E"/>
    <w:rsid w:val="00F16A0A"/>
    <w:rsid w:val="00F16E32"/>
    <w:rsid w:val="00F30CD5"/>
    <w:rsid w:val="00F31215"/>
    <w:rsid w:val="00F40C18"/>
    <w:rsid w:val="00F4235E"/>
    <w:rsid w:val="00F51B77"/>
    <w:rsid w:val="00F52DE4"/>
    <w:rsid w:val="00F619B4"/>
    <w:rsid w:val="00F63640"/>
    <w:rsid w:val="00F662AD"/>
    <w:rsid w:val="00F70089"/>
    <w:rsid w:val="00F711DA"/>
    <w:rsid w:val="00F80799"/>
    <w:rsid w:val="00F8438F"/>
    <w:rsid w:val="00F84A63"/>
    <w:rsid w:val="00F944FA"/>
    <w:rsid w:val="00F95A13"/>
    <w:rsid w:val="00FA0A94"/>
    <w:rsid w:val="00FA2285"/>
    <w:rsid w:val="00FA4A9E"/>
    <w:rsid w:val="00FA7D47"/>
    <w:rsid w:val="00FB1B80"/>
    <w:rsid w:val="00FB542D"/>
    <w:rsid w:val="00FB7D84"/>
    <w:rsid w:val="00FC0AD7"/>
    <w:rsid w:val="00FD47C1"/>
    <w:rsid w:val="00FD4DA0"/>
    <w:rsid w:val="00FD5697"/>
    <w:rsid w:val="00FE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B7D97"/>
  <w14:defaultImageDpi w14:val="330"/>
  <w15:docId w15:val="{FB7A2C2E-3B9D-4926-9BB4-B7BADBC0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6D"/>
    <w:pPr>
      <w:spacing w:before="100" w:beforeAutospacing="1" w:after="100" w:afterAutospacing="1"/>
    </w:pPr>
    <w:rPr>
      <w:rFonts w:ascii="Arial" w:hAnsi="Arial" w:cs="Arial"/>
    </w:rPr>
  </w:style>
  <w:style w:type="paragraph" w:styleId="Heading1">
    <w:name w:val="heading 1"/>
    <w:basedOn w:val="Normal"/>
    <w:next w:val="Normal"/>
    <w:link w:val="Heading1Char"/>
    <w:uiPriority w:val="9"/>
    <w:qFormat/>
    <w:rsid w:val="00D75327"/>
    <w:pPr>
      <w:keepNext/>
      <w:keepLines/>
      <w:spacing w:before="600"/>
      <w:outlineLvl w:val="0"/>
    </w:pPr>
    <w:rPr>
      <w:rFonts w:eastAsiaTheme="majorEastAsia"/>
      <w:color w:val="002855"/>
      <w:sz w:val="28"/>
      <w:szCs w:val="32"/>
    </w:rPr>
  </w:style>
  <w:style w:type="paragraph" w:styleId="Heading2">
    <w:name w:val="heading 2"/>
    <w:basedOn w:val="Heading3"/>
    <w:next w:val="Normal"/>
    <w:link w:val="Heading2Char"/>
    <w:uiPriority w:val="9"/>
    <w:unhideWhenUsed/>
    <w:qFormat/>
    <w:rsid w:val="00D75327"/>
    <w:pPr>
      <w:numPr>
        <w:numId w:val="18"/>
      </w:numPr>
      <w:spacing w:before="240"/>
      <w:outlineLvl w:val="1"/>
    </w:pPr>
    <w:rPr>
      <w:rFonts w:ascii="Lato" w:eastAsia="Times New Roman" w:hAnsi="Lato"/>
      <w:color w:val="005EB8"/>
    </w:rPr>
  </w:style>
  <w:style w:type="paragraph" w:styleId="Heading3">
    <w:name w:val="heading 3"/>
    <w:basedOn w:val="Normal"/>
    <w:next w:val="Normal"/>
    <w:link w:val="Heading3Char"/>
    <w:uiPriority w:val="9"/>
    <w:unhideWhenUsed/>
    <w:qFormat/>
    <w:rsid w:val="00BB27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326"/>
    <w:pPr>
      <w:tabs>
        <w:tab w:val="center" w:pos="4320"/>
        <w:tab w:val="right" w:pos="8640"/>
      </w:tabs>
    </w:pPr>
  </w:style>
  <w:style w:type="character" w:customStyle="1" w:styleId="HeaderChar">
    <w:name w:val="Header Char"/>
    <w:basedOn w:val="DefaultParagraphFont"/>
    <w:link w:val="Header"/>
    <w:uiPriority w:val="99"/>
    <w:rsid w:val="00323326"/>
  </w:style>
  <w:style w:type="paragraph" w:styleId="Footer">
    <w:name w:val="footer"/>
    <w:basedOn w:val="Normal"/>
    <w:link w:val="FooterChar"/>
    <w:uiPriority w:val="99"/>
    <w:unhideWhenUsed/>
    <w:rsid w:val="00410A86"/>
    <w:pPr>
      <w:tabs>
        <w:tab w:val="center" w:pos="4320"/>
        <w:tab w:val="right" w:pos="8640"/>
      </w:tabs>
    </w:pPr>
  </w:style>
  <w:style w:type="character" w:customStyle="1" w:styleId="FooterChar">
    <w:name w:val="Footer Char"/>
    <w:basedOn w:val="DefaultParagraphFont"/>
    <w:link w:val="Footer"/>
    <w:uiPriority w:val="99"/>
    <w:rsid w:val="00410A86"/>
  </w:style>
  <w:style w:type="paragraph" w:customStyle="1" w:styleId="BodyCopy">
    <w:name w:val="Body Copy"/>
    <w:basedOn w:val="Normal"/>
    <w:uiPriority w:val="99"/>
    <w:rsid w:val="00323326"/>
    <w:pPr>
      <w:widowControl w:val="0"/>
      <w:tabs>
        <w:tab w:val="left" w:pos="240"/>
      </w:tabs>
      <w:suppressAutoHyphens/>
      <w:autoSpaceDE w:val="0"/>
      <w:autoSpaceDN w:val="0"/>
      <w:adjustRightInd w:val="0"/>
      <w:spacing w:after="180" w:line="280" w:lineRule="atLeast"/>
      <w:textAlignment w:val="center"/>
    </w:pPr>
    <w:rPr>
      <w:rFonts w:ascii="Calibri" w:hAnsi="Calibri" w:cs="HelveticaNeue-Light"/>
      <w:color w:val="000000"/>
      <w:sz w:val="18"/>
      <w:szCs w:val="18"/>
    </w:rPr>
  </w:style>
  <w:style w:type="paragraph" w:styleId="NormalWeb">
    <w:name w:val="Normal (Web)"/>
    <w:basedOn w:val="Normal"/>
    <w:uiPriority w:val="99"/>
    <w:unhideWhenUsed/>
    <w:rsid w:val="00323326"/>
    <w:rPr>
      <w:rFonts w:ascii="Times" w:hAnsi="Times" w:cs="Times New Roman"/>
      <w:sz w:val="20"/>
      <w:szCs w:val="20"/>
    </w:rPr>
  </w:style>
  <w:style w:type="character" w:styleId="BookTitle">
    <w:name w:val="Book Title"/>
    <w:basedOn w:val="DefaultParagraphFont"/>
    <w:uiPriority w:val="33"/>
    <w:qFormat/>
    <w:rsid w:val="00323326"/>
    <w:rPr>
      <w:b/>
      <w:bCs/>
      <w:smallCaps/>
      <w:spacing w:val="5"/>
    </w:rPr>
  </w:style>
  <w:style w:type="character" w:styleId="PageNumber">
    <w:name w:val="page number"/>
    <w:basedOn w:val="DefaultParagraphFont"/>
    <w:autoRedefine/>
    <w:uiPriority w:val="99"/>
    <w:unhideWhenUsed/>
    <w:rsid w:val="00323326"/>
    <w:rPr>
      <w:rFonts w:ascii="Calibri" w:hAnsi="Calibri"/>
    </w:rPr>
  </w:style>
  <w:style w:type="paragraph" w:customStyle="1" w:styleId="Default">
    <w:name w:val="Default"/>
    <w:rsid w:val="00BC583B"/>
    <w:pPr>
      <w:widowControl w:val="0"/>
      <w:autoSpaceDE w:val="0"/>
      <w:autoSpaceDN w:val="0"/>
      <w:adjustRightInd w:val="0"/>
    </w:pPr>
    <w:rPr>
      <w:rFonts w:ascii="Verdana" w:hAnsi="Verdana" w:cs="Verdana"/>
      <w:color w:val="000000"/>
    </w:rPr>
  </w:style>
  <w:style w:type="paragraph" w:customStyle="1" w:styleId="TitlePageheader">
    <w:name w:val="Title Page header"/>
    <w:basedOn w:val="BodyCopy"/>
    <w:qFormat/>
    <w:rsid w:val="00732D2E"/>
    <w:pPr>
      <w:spacing w:after="0" w:line="240" w:lineRule="auto"/>
    </w:pPr>
    <w:rPr>
      <w:rFonts w:cs="Whitney-Bold"/>
      <w:b/>
      <w:bCs/>
      <w:color w:val="auto"/>
      <w:sz w:val="36"/>
      <w:szCs w:val="36"/>
    </w:rPr>
  </w:style>
  <w:style w:type="paragraph" w:customStyle="1" w:styleId="TitlePagesubheader">
    <w:name w:val="Title Page subheader"/>
    <w:basedOn w:val="BodyCopy"/>
    <w:qFormat/>
    <w:rsid w:val="002D72DE"/>
    <w:pPr>
      <w:spacing w:after="0" w:line="240" w:lineRule="auto"/>
    </w:pPr>
    <w:rPr>
      <w:rFonts w:cs="Whitney-Bold"/>
      <w:bCs/>
      <w:color w:val="auto"/>
      <w:sz w:val="24"/>
      <w:szCs w:val="24"/>
    </w:rPr>
  </w:style>
  <w:style w:type="paragraph" w:customStyle="1" w:styleId="TitlePageSubmission">
    <w:name w:val="Title Page Submission"/>
    <w:basedOn w:val="BodyCopy"/>
    <w:qFormat/>
    <w:rsid w:val="006E1055"/>
    <w:pPr>
      <w:spacing w:after="0" w:line="240" w:lineRule="auto"/>
    </w:pPr>
    <w:rPr>
      <w:rFonts w:cs="Whitney-Bold"/>
      <w:b/>
      <w:bCs/>
      <w:color w:val="005EB8"/>
      <w:sz w:val="24"/>
      <w:szCs w:val="24"/>
    </w:rPr>
  </w:style>
  <w:style w:type="paragraph" w:customStyle="1" w:styleId="TitlePagePresented">
    <w:name w:val="Title Page Presented"/>
    <w:basedOn w:val="TitlePagesubheader"/>
    <w:qFormat/>
    <w:rsid w:val="00AC58DC"/>
  </w:style>
  <w:style w:type="paragraph" w:customStyle="1" w:styleId="BodyText1">
    <w:name w:val="Body Text1"/>
    <w:basedOn w:val="NormalWeb"/>
    <w:qFormat/>
    <w:rsid w:val="002D72DE"/>
    <w:pPr>
      <w:spacing w:after="210" w:line="210" w:lineRule="atLeast"/>
      <w:jc w:val="both"/>
      <w:outlineLvl w:val="0"/>
    </w:pPr>
    <w:rPr>
      <w:rFonts w:ascii="Calibri" w:hAnsi="Calibri" w:cs="Arial"/>
      <w:color w:val="000000"/>
      <w:sz w:val="24"/>
      <w:szCs w:val="24"/>
    </w:rPr>
  </w:style>
  <w:style w:type="paragraph" w:customStyle="1" w:styleId="Bodyheadertitles">
    <w:name w:val="Body header titles"/>
    <w:basedOn w:val="NormalWeb"/>
    <w:qFormat/>
    <w:rsid w:val="00732D2E"/>
    <w:pPr>
      <w:spacing w:before="0" w:beforeAutospacing="0" w:after="210" w:afterAutospacing="0" w:line="210" w:lineRule="atLeast"/>
      <w:jc w:val="both"/>
      <w:outlineLvl w:val="0"/>
    </w:pPr>
    <w:rPr>
      <w:rFonts w:ascii="Arial" w:hAnsi="Arial" w:cs="Arial"/>
      <w:b/>
      <w:color w:val="000000"/>
      <w:sz w:val="24"/>
      <w:szCs w:val="24"/>
    </w:rPr>
  </w:style>
  <w:style w:type="paragraph" w:customStyle="1" w:styleId="Nametitle">
    <w:name w:val="Name title"/>
    <w:basedOn w:val="Normal"/>
    <w:qFormat/>
    <w:rsid w:val="008D0351"/>
    <w:pPr>
      <w:widowControl w:val="0"/>
      <w:tabs>
        <w:tab w:val="left" w:pos="240"/>
      </w:tabs>
      <w:suppressAutoHyphens/>
      <w:autoSpaceDE w:val="0"/>
      <w:autoSpaceDN w:val="0"/>
      <w:adjustRightInd w:val="0"/>
      <w:ind w:left="57"/>
      <w:textAlignment w:val="center"/>
    </w:pPr>
    <w:rPr>
      <w:rFonts w:ascii="Calibri" w:hAnsi="Calibri" w:cs="Whitney-Medium"/>
      <w:i/>
      <w:color w:val="005EB8"/>
      <w:sz w:val="16"/>
      <w:szCs w:val="16"/>
    </w:rPr>
  </w:style>
  <w:style w:type="paragraph" w:styleId="FootnoteText">
    <w:name w:val="footnote text"/>
    <w:basedOn w:val="Normal"/>
    <w:link w:val="FootnoteTextChar"/>
    <w:uiPriority w:val="99"/>
    <w:unhideWhenUsed/>
    <w:rsid w:val="00DB74EC"/>
    <w:rPr>
      <w:sz w:val="20"/>
      <w:szCs w:val="20"/>
    </w:rPr>
  </w:style>
  <w:style w:type="character" w:customStyle="1" w:styleId="FootnoteTextChar">
    <w:name w:val="Footnote Text Char"/>
    <w:basedOn w:val="DefaultParagraphFont"/>
    <w:link w:val="FootnoteText"/>
    <w:uiPriority w:val="99"/>
    <w:rsid w:val="00DB74EC"/>
    <w:rPr>
      <w:sz w:val="20"/>
      <w:szCs w:val="20"/>
    </w:rPr>
  </w:style>
  <w:style w:type="character" w:styleId="FootnoteReference">
    <w:name w:val="footnote reference"/>
    <w:basedOn w:val="DefaultParagraphFont"/>
    <w:uiPriority w:val="99"/>
    <w:semiHidden/>
    <w:unhideWhenUsed/>
    <w:rsid w:val="00DB74EC"/>
    <w:rPr>
      <w:vertAlign w:val="superscript"/>
    </w:rPr>
  </w:style>
  <w:style w:type="paragraph" w:styleId="BalloonText">
    <w:name w:val="Balloon Text"/>
    <w:basedOn w:val="Normal"/>
    <w:link w:val="BalloonTextChar"/>
    <w:uiPriority w:val="99"/>
    <w:semiHidden/>
    <w:unhideWhenUsed/>
    <w:rsid w:val="000D6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88"/>
    <w:rPr>
      <w:rFonts w:ascii="Segoe UI" w:hAnsi="Segoe UI" w:cs="Segoe UI"/>
      <w:sz w:val="18"/>
      <w:szCs w:val="18"/>
    </w:rPr>
  </w:style>
  <w:style w:type="character" w:styleId="Hyperlink">
    <w:name w:val="Hyperlink"/>
    <w:basedOn w:val="DefaultParagraphFont"/>
    <w:uiPriority w:val="99"/>
    <w:unhideWhenUsed/>
    <w:rsid w:val="00C31B26"/>
    <w:rPr>
      <w:color w:val="0000FF" w:themeColor="hyperlink"/>
      <w:u w:val="single"/>
    </w:rPr>
  </w:style>
  <w:style w:type="paragraph" w:styleId="ListParagraph">
    <w:name w:val="List Paragraph"/>
    <w:basedOn w:val="Normal"/>
    <w:uiPriority w:val="34"/>
    <w:qFormat/>
    <w:rsid w:val="00D3626D"/>
    <w:pPr>
      <w:spacing w:after="160" w:line="259" w:lineRule="auto"/>
      <w:ind w:left="720"/>
      <w:contextualSpacing/>
    </w:pPr>
    <w:rPr>
      <w:rFonts w:eastAsiaTheme="minorHAnsi"/>
      <w:szCs w:val="22"/>
      <w:lang w:val="en-CA"/>
    </w:rPr>
  </w:style>
  <w:style w:type="character" w:styleId="SubtleEmphasis">
    <w:name w:val="Subtle Emphasis"/>
    <w:basedOn w:val="DefaultParagraphFont"/>
    <w:uiPriority w:val="19"/>
    <w:qFormat/>
    <w:rsid w:val="00BB272D"/>
    <w:rPr>
      <w:i/>
      <w:iCs/>
      <w:color w:val="404040" w:themeColor="text1" w:themeTint="BF"/>
    </w:rPr>
  </w:style>
  <w:style w:type="character" w:customStyle="1" w:styleId="Heading1Char">
    <w:name w:val="Heading 1 Char"/>
    <w:basedOn w:val="DefaultParagraphFont"/>
    <w:link w:val="Heading1"/>
    <w:uiPriority w:val="9"/>
    <w:rsid w:val="00D75327"/>
    <w:rPr>
      <w:rFonts w:ascii="Lato" w:eastAsiaTheme="majorEastAsia" w:hAnsi="Lato" w:cs="Arial"/>
      <w:color w:val="002855"/>
      <w:sz w:val="28"/>
      <w:szCs w:val="32"/>
    </w:rPr>
  </w:style>
  <w:style w:type="character" w:customStyle="1" w:styleId="Heading2Char">
    <w:name w:val="Heading 2 Char"/>
    <w:basedOn w:val="DefaultParagraphFont"/>
    <w:link w:val="Heading2"/>
    <w:uiPriority w:val="9"/>
    <w:rsid w:val="00D75327"/>
    <w:rPr>
      <w:rFonts w:ascii="Lato" w:eastAsia="Times New Roman" w:hAnsi="Lato" w:cstheme="majorBidi"/>
      <w:color w:val="005EB8"/>
    </w:rPr>
  </w:style>
  <w:style w:type="character" w:customStyle="1" w:styleId="Heading3Char">
    <w:name w:val="Heading 3 Char"/>
    <w:basedOn w:val="DefaultParagraphFont"/>
    <w:link w:val="Heading3"/>
    <w:uiPriority w:val="9"/>
    <w:rsid w:val="00BB272D"/>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332E7A"/>
    <w:rPr>
      <w:sz w:val="16"/>
      <w:szCs w:val="16"/>
    </w:rPr>
  </w:style>
  <w:style w:type="paragraph" w:styleId="CommentText">
    <w:name w:val="annotation text"/>
    <w:basedOn w:val="Normal"/>
    <w:link w:val="CommentTextChar"/>
    <w:uiPriority w:val="99"/>
    <w:unhideWhenUsed/>
    <w:rsid w:val="00332E7A"/>
    <w:rPr>
      <w:sz w:val="20"/>
      <w:szCs w:val="20"/>
    </w:rPr>
  </w:style>
  <w:style w:type="character" w:customStyle="1" w:styleId="CommentTextChar">
    <w:name w:val="Comment Text Char"/>
    <w:basedOn w:val="DefaultParagraphFont"/>
    <w:link w:val="CommentText"/>
    <w:uiPriority w:val="99"/>
    <w:rsid w:val="00332E7A"/>
    <w:rPr>
      <w:sz w:val="20"/>
      <w:szCs w:val="20"/>
    </w:rPr>
  </w:style>
  <w:style w:type="paragraph" w:styleId="CommentSubject">
    <w:name w:val="annotation subject"/>
    <w:basedOn w:val="CommentText"/>
    <w:next w:val="CommentText"/>
    <w:link w:val="CommentSubjectChar"/>
    <w:uiPriority w:val="99"/>
    <w:semiHidden/>
    <w:unhideWhenUsed/>
    <w:rsid w:val="00332E7A"/>
    <w:rPr>
      <w:b/>
      <w:bCs/>
    </w:rPr>
  </w:style>
  <w:style w:type="character" w:customStyle="1" w:styleId="CommentSubjectChar">
    <w:name w:val="Comment Subject Char"/>
    <w:basedOn w:val="CommentTextChar"/>
    <w:link w:val="CommentSubject"/>
    <w:uiPriority w:val="99"/>
    <w:semiHidden/>
    <w:rsid w:val="00332E7A"/>
    <w:rPr>
      <w:b/>
      <w:bCs/>
      <w:sz w:val="20"/>
      <w:szCs w:val="20"/>
    </w:rPr>
  </w:style>
  <w:style w:type="paragraph" w:customStyle="1" w:styleId="Body">
    <w:name w:val="Body"/>
    <w:rsid w:val="00140007"/>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0" w14:cap="flat" w14:cmpd="sng" w14:algn="ctr">
        <w14:noFill/>
        <w14:prstDash w14:val="solid"/>
        <w14:bevel/>
      </w14:textOutline>
    </w:rPr>
  </w:style>
  <w:style w:type="numbering" w:customStyle="1" w:styleId="Bullet">
    <w:name w:val="Bullet"/>
    <w:rsid w:val="00140007"/>
    <w:pPr>
      <w:numPr>
        <w:numId w:val="1"/>
      </w:numPr>
    </w:pPr>
  </w:style>
  <w:style w:type="character" w:customStyle="1" w:styleId="Hyperlink0">
    <w:name w:val="Hyperlink.0"/>
    <w:basedOn w:val="DefaultParagraphFont"/>
    <w:rsid w:val="00EA03C3"/>
    <w:rPr>
      <w:rFonts w:ascii="Times New Roman" w:eastAsia="Times New Roman" w:hAnsi="Times New Roman" w:cs="Times New Roman"/>
      <w:outline w:val="0"/>
      <w:color w:val="0563C1"/>
      <w:sz w:val="24"/>
      <w:szCs w:val="24"/>
      <w:u w:val="single" w:color="0563C1"/>
      <w:lang w:val="en-US"/>
    </w:rPr>
  </w:style>
  <w:style w:type="character" w:customStyle="1" w:styleId="Link">
    <w:name w:val="Link"/>
    <w:rsid w:val="00EA03C3"/>
    <w:rPr>
      <w:u w:val="single"/>
    </w:rPr>
  </w:style>
  <w:style w:type="character" w:customStyle="1" w:styleId="Hyperlink1">
    <w:name w:val="Hyperlink.1"/>
    <w:basedOn w:val="Link"/>
    <w:rsid w:val="00EA03C3"/>
    <w:rPr>
      <w:outline w:val="0"/>
      <w:color w:val="0563C1"/>
      <w:u w:val="single" w:color="0563C1"/>
      <w:lang w:val="es-ES_tradnl"/>
    </w:rPr>
  </w:style>
  <w:style w:type="character" w:customStyle="1" w:styleId="Hyperlink2">
    <w:name w:val="Hyperlink.2"/>
    <w:basedOn w:val="Link"/>
    <w:rsid w:val="00EA03C3"/>
    <w:rPr>
      <w:outline w:val="0"/>
      <w:color w:val="0563C1"/>
      <w:u w:val="single" w:color="0563C1"/>
    </w:rPr>
  </w:style>
  <w:style w:type="paragraph" w:customStyle="1" w:styleId="TableStyle2">
    <w:name w:val="Table Style 2"/>
    <w:rsid w:val="00EA03C3"/>
    <w:pPr>
      <w:pBdr>
        <w:top w:val="nil"/>
        <w:left w:val="nil"/>
        <w:bottom w:val="nil"/>
        <w:right w:val="nil"/>
        <w:between w:val="nil"/>
        <w:bar w:val="nil"/>
      </w:pBdr>
    </w:pPr>
    <w:rPr>
      <w:rFonts w:ascii="Helvetica Neue" w:eastAsia="Helvetica Neue" w:hAnsi="Helvetica Neue" w:cs="Helvetica Neue"/>
      <w:color w:val="000000"/>
      <w:sz w:val="20"/>
      <w:szCs w:val="20"/>
      <w:bdr w:val="nil"/>
      <w:lang w:val="en-CA" w:eastAsia="en-CA"/>
      <w14:textOutline w14:w="0" w14:cap="flat" w14:cmpd="sng" w14:algn="ctr">
        <w14:noFill/>
        <w14:prstDash w14:val="solid"/>
        <w14:bevel/>
      </w14:textOutline>
    </w:rPr>
  </w:style>
  <w:style w:type="numbering" w:customStyle="1" w:styleId="Dash">
    <w:name w:val="Dash"/>
    <w:rsid w:val="00B8239D"/>
    <w:pPr>
      <w:numPr>
        <w:numId w:val="2"/>
      </w:numPr>
    </w:pPr>
  </w:style>
  <w:style w:type="character" w:customStyle="1" w:styleId="Hyperlink3">
    <w:name w:val="Hyperlink.3"/>
    <w:basedOn w:val="Link"/>
    <w:rsid w:val="00D76E85"/>
    <w:rPr>
      <w:outline w:val="0"/>
      <w:color w:val="0563C1"/>
      <w:u w:val="single" w:color="0563C1"/>
    </w:rPr>
  </w:style>
  <w:style w:type="paragraph" w:customStyle="1" w:styleId="BodyA">
    <w:name w:val="Body A"/>
    <w:rsid w:val="000A2CBE"/>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12700" w14:cap="flat" w14:cmpd="sng" w14:algn="ctr">
        <w14:noFill/>
        <w14:prstDash w14:val="solid"/>
        <w14:miter w14:lim="400000"/>
      </w14:textOutline>
    </w:rPr>
  </w:style>
  <w:style w:type="character" w:customStyle="1" w:styleId="None">
    <w:name w:val="None"/>
    <w:rsid w:val="008E7803"/>
  </w:style>
  <w:style w:type="paragraph" w:styleId="EndnoteText">
    <w:name w:val="endnote text"/>
    <w:basedOn w:val="Normal"/>
    <w:link w:val="EndnoteTextChar"/>
    <w:uiPriority w:val="99"/>
    <w:semiHidden/>
    <w:unhideWhenUsed/>
    <w:rsid w:val="008B7755"/>
    <w:pPr>
      <w:spacing w:before="0" w:beforeAutospacing="0" w:after="0" w:afterAutospacing="0"/>
    </w:pPr>
    <w:rPr>
      <w:rFonts w:asciiTheme="minorHAnsi" w:eastAsiaTheme="minorHAnsi" w:hAnsiTheme="minorHAnsi" w:cstheme="minorBidi"/>
      <w:sz w:val="20"/>
      <w:szCs w:val="20"/>
      <w:lang w:val="en-CA"/>
    </w:rPr>
  </w:style>
  <w:style w:type="character" w:customStyle="1" w:styleId="EndnoteTextChar">
    <w:name w:val="Endnote Text Char"/>
    <w:basedOn w:val="DefaultParagraphFont"/>
    <w:link w:val="EndnoteText"/>
    <w:uiPriority w:val="99"/>
    <w:semiHidden/>
    <w:rsid w:val="008B7755"/>
    <w:rPr>
      <w:rFonts w:eastAsiaTheme="minorHAnsi"/>
      <w:sz w:val="20"/>
      <w:szCs w:val="20"/>
      <w:lang w:val="en-CA"/>
    </w:rPr>
  </w:style>
  <w:style w:type="character" w:styleId="EndnoteReference">
    <w:name w:val="endnote reference"/>
    <w:basedOn w:val="DefaultParagraphFont"/>
    <w:uiPriority w:val="99"/>
    <w:semiHidden/>
    <w:unhideWhenUsed/>
    <w:rsid w:val="008B7755"/>
    <w:rPr>
      <w:vertAlign w:val="superscript"/>
    </w:rPr>
  </w:style>
  <w:style w:type="paragraph" w:customStyle="1" w:styleId="active">
    <w:name w:val="active"/>
    <w:basedOn w:val="Normal"/>
    <w:rsid w:val="00B72EF8"/>
    <w:rPr>
      <w:rFonts w:ascii="Times New Roman" w:eastAsia="Times New Roman" w:hAnsi="Times New Roman" w:cs="Times New Roman"/>
      <w:lang w:val="en-CA" w:eastAsia="en-CA"/>
    </w:rPr>
  </w:style>
  <w:style w:type="paragraph" w:styleId="BodyText">
    <w:name w:val="Body Text"/>
    <w:basedOn w:val="Normal"/>
    <w:link w:val="BodyTextChar"/>
    <w:qFormat/>
    <w:rsid w:val="00833E4B"/>
    <w:pPr>
      <w:suppressAutoHyphens/>
      <w:spacing w:before="180" w:beforeAutospacing="0" w:after="180" w:afterAutospacing="0"/>
    </w:pPr>
    <w:rPr>
      <w:rFonts w:asciiTheme="minorHAnsi" w:eastAsiaTheme="minorHAnsi" w:hAnsiTheme="minorHAnsi" w:cstheme="minorBidi"/>
    </w:rPr>
  </w:style>
  <w:style w:type="character" w:customStyle="1" w:styleId="BodyTextChar">
    <w:name w:val="Body Text Char"/>
    <w:basedOn w:val="DefaultParagraphFont"/>
    <w:link w:val="BodyText"/>
    <w:rsid w:val="00833E4B"/>
    <w:rPr>
      <w:rFonts w:eastAsiaTheme="minorHAnsi"/>
    </w:rPr>
  </w:style>
  <w:style w:type="paragraph" w:customStyle="1" w:styleId="FirstParagraph">
    <w:name w:val="First Paragraph"/>
    <w:basedOn w:val="BodyText"/>
    <w:next w:val="BodyText"/>
    <w:qFormat/>
    <w:rsid w:val="00833E4B"/>
  </w:style>
  <w:style w:type="paragraph" w:customStyle="1" w:styleId="Compact">
    <w:name w:val="Compact"/>
    <w:basedOn w:val="BodyText"/>
    <w:qFormat/>
    <w:rsid w:val="00833E4B"/>
    <w:pPr>
      <w:spacing w:before="36" w:after="36"/>
    </w:pPr>
  </w:style>
  <w:style w:type="paragraph" w:styleId="NoSpacing">
    <w:name w:val="No Spacing"/>
    <w:uiPriority w:val="1"/>
    <w:qFormat/>
    <w:rsid w:val="00FB1B80"/>
    <w:pPr>
      <w:spacing w:beforeAutospacing="1" w:afterAutospacing="1"/>
    </w:pPr>
    <w:rPr>
      <w:rFonts w:ascii="Arial" w:hAnsi="Arial" w:cs="Arial"/>
    </w:rPr>
  </w:style>
  <w:style w:type="paragraph" w:styleId="Revision">
    <w:name w:val="Revision"/>
    <w:hidden/>
    <w:uiPriority w:val="99"/>
    <w:semiHidden/>
    <w:rsid w:val="009B3BE0"/>
    <w:rPr>
      <w:rFonts w:ascii="Arial" w:hAnsi="Arial" w:cs="Arial"/>
    </w:rPr>
  </w:style>
  <w:style w:type="character" w:styleId="UnresolvedMention">
    <w:name w:val="Unresolved Mention"/>
    <w:basedOn w:val="DefaultParagraphFont"/>
    <w:uiPriority w:val="99"/>
    <w:semiHidden/>
    <w:unhideWhenUsed/>
    <w:rsid w:val="009535E1"/>
    <w:rPr>
      <w:color w:val="605E5C"/>
      <w:shd w:val="clear" w:color="auto" w:fill="E1DFDD"/>
    </w:rPr>
  </w:style>
  <w:style w:type="character" w:styleId="Emphasis">
    <w:name w:val="Emphasis"/>
    <w:basedOn w:val="DefaultParagraphFont"/>
    <w:uiPriority w:val="20"/>
    <w:qFormat/>
    <w:rsid w:val="005223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44310">
      <w:bodyDiv w:val="1"/>
      <w:marLeft w:val="0"/>
      <w:marRight w:val="0"/>
      <w:marTop w:val="0"/>
      <w:marBottom w:val="0"/>
      <w:divBdr>
        <w:top w:val="none" w:sz="0" w:space="0" w:color="auto"/>
        <w:left w:val="none" w:sz="0" w:space="0" w:color="auto"/>
        <w:bottom w:val="none" w:sz="0" w:space="0" w:color="auto"/>
        <w:right w:val="none" w:sz="0" w:space="0" w:color="auto"/>
      </w:divBdr>
      <w:divsChild>
        <w:div w:id="1816288283">
          <w:marLeft w:val="0"/>
          <w:marRight w:val="0"/>
          <w:marTop w:val="0"/>
          <w:marBottom w:val="0"/>
          <w:divBdr>
            <w:top w:val="none" w:sz="0" w:space="0" w:color="auto"/>
            <w:left w:val="none" w:sz="0" w:space="0" w:color="auto"/>
            <w:bottom w:val="none" w:sz="0" w:space="0" w:color="auto"/>
            <w:right w:val="none" w:sz="0" w:space="0" w:color="auto"/>
          </w:divBdr>
        </w:div>
      </w:divsChild>
    </w:div>
    <w:div w:id="597298087">
      <w:bodyDiv w:val="1"/>
      <w:marLeft w:val="0"/>
      <w:marRight w:val="0"/>
      <w:marTop w:val="0"/>
      <w:marBottom w:val="0"/>
      <w:divBdr>
        <w:top w:val="none" w:sz="0" w:space="0" w:color="auto"/>
        <w:left w:val="none" w:sz="0" w:space="0" w:color="auto"/>
        <w:bottom w:val="none" w:sz="0" w:space="0" w:color="auto"/>
        <w:right w:val="none" w:sz="0" w:space="0" w:color="auto"/>
      </w:divBdr>
      <w:divsChild>
        <w:div w:id="1543708091">
          <w:marLeft w:val="0"/>
          <w:marRight w:val="0"/>
          <w:marTop w:val="480"/>
          <w:marBottom w:val="0"/>
          <w:divBdr>
            <w:top w:val="none" w:sz="0" w:space="0" w:color="auto"/>
            <w:left w:val="none" w:sz="0" w:space="0" w:color="auto"/>
            <w:bottom w:val="none" w:sz="0" w:space="0" w:color="auto"/>
            <w:right w:val="none" w:sz="0" w:space="0" w:color="auto"/>
          </w:divBdr>
        </w:div>
      </w:divsChild>
    </w:div>
    <w:div w:id="613245051">
      <w:bodyDiv w:val="1"/>
      <w:marLeft w:val="0"/>
      <w:marRight w:val="0"/>
      <w:marTop w:val="0"/>
      <w:marBottom w:val="0"/>
      <w:divBdr>
        <w:top w:val="none" w:sz="0" w:space="0" w:color="auto"/>
        <w:left w:val="none" w:sz="0" w:space="0" w:color="auto"/>
        <w:bottom w:val="none" w:sz="0" w:space="0" w:color="auto"/>
        <w:right w:val="none" w:sz="0" w:space="0" w:color="auto"/>
      </w:divBdr>
    </w:div>
    <w:div w:id="1009596804">
      <w:bodyDiv w:val="1"/>
      <w:marLeft w:val="0"/>
      <w:marRight w:val="0"/>
      <w:marTop w:val="0"/>
      <w:marBottom w:val="0"/>
      <w:divBdr>
        <w:top w:val="none" w:sz="0" w:space="0" w:color="auto"/>
        <w:left w:val="none" w:sz="0" w:space="0" w:color="auto"/>
        <w:bottom w:val="none" w:sz="0" w:space="0" w:color="auto"/>
        <w:right w:val="none" w:sz="0" w:space="0" w:color="auto"/>
      </w:divBdr>
    </w:div>
    <w:div w:id="1350449641">
      <w:bodyDiv w:val="1"/>
      <w:marLeft w:val="0"/>
      <w:marRight w:val="0"/>
      <w:marTop w:val="0"/>
      <w:marBottom w:val="0"/>
      <w:divBdr>
        <w:top w:val="none" w:sz="0" w:space="0" w:color="auto"/>
        <w:left w:val="none" w:sz="0" w:space="0" w:color="auto"/>
        <w:bottom w:val="none" w:sz="0" w:space="0" w:color="auto"/>
        <w:right w:val="none" w:sz="0" w:space="0" w:color="auto"/>
      </w:divBdr>
    </w:div>
    <w:div w:id="1351182362">
      <w:bodyDiv w:val="1"/>
      <w:marLeft w:val="0"/>
      <w:marRight w:val="0"/>
      <w:marTop w:val="0"/>
      <w:marBottom w:val="0"/>
      <w:divBdr>
        <w:top w:val="none" w:sz="0" w:space="0" w:color="auto"/>
        <w:left w:val="none" w:sz="0" w:space="0" w:color="auto"/>
        <w:bottom w:val="none" w:sz="0" w:space="0" w:color="auto"/>
        <w:right w:val="none" w:sz="0" w:space="0" w:color="auto"/>
      </w:divBdr>
    </w:div>
    <w:div w:id="1435635960">
      <w:bodyDiv w:val="1"/>
      <w:marLeft w:val="0"/>
      <w:marRight w:val="0"/>
      <w:marTop w:val="0"/>
      <w:marBottom w:val="0"/>
      <w:divBdr>
        <w:top w:val="none" w:sz="0" w:space="0" w:color="auto"/>
        <w:left w:val="none" w:sz="0" w:space="0" w:color="auto"/>
        <w:bottom w:val="none" w:sz="0" w:space="0" w:color="auto"/>
        <w:right w:val="none" w:sz="0" w:space="0" w:color="auto"/>
      </w:divBdr>
      <w:divsChild>
        <w:div w:id="1249315400">
          <w:marLeft w:val="0"/>
          <w:marRight w:val="0"/>
          <w:marTop w:val="0"/>
          <w:marBottom w:val="0"/>
          <w:divBdr>
            <w:top w:val="none" w:sz="0" w:space="0" w:color="auto"/>
            <w:left w:val="none" w:sz="0" w:space="0" w:color="auto"/>
            <w:bottom w:val="none" w:sz="0" w:space="0" w:color="auto"/>
            <w:right w:val="none" w:sz="0" w:space="0" w:color="auto"/>
          </w:divBdr>
          <w:divsChild>
            <w:div w:id="1716125781">
              <w:marLeft w:val="0"/>
              <w:marRight w:val="0"/>
              <w:marTop w:val="0"/>
              <w:marBottom w:val="0"/>
              <w:divBdr>
                <w:top w:val="none" w:sz="0" w:space="0" w:color="auto"/>
                <w:left w:val="none" w:sz="0" w:space="0" w:color="auto"/>
                <w:bottom w:val="none" w:sz="0" w:space="0" w:color="auto"/>
                <w:right w:val="none" w:sz="0" w:space="0" w:color="auto"/>
              </w:divBdr>
            </w:div>
          </w:divsChild>
        </w:div>
        <w:div w:id="244851014">
          <w:marLeft w:val="0"/>
          <w:marRight w:val="0"/>
          <w:marTop w:val="0"/>
          <w:marBottom w:val="0"/>
          <w:divBdr>
            <w:top w:val="none" w:sz="0" w:space="0" w:color="auto"/>
            <w:left w:val="none" w:sz="0" w:space="0" w:color="auto"/>
            <w:bottom w:val="none" w:sz="0" w:space="0" w:color="auto"/>
            <w:right w:val="none" w:sz="0" w:space="0" w:color="auto"/>
          </w:divBdr>
          <w:divsChild>
            <w:div w:id="915827241">
              <w:marLeft w:val="0"/>
              <w:marRight w:val="0"/>
              <w:marTop w:val="0"/>
              <w:marBottom w:val="0"/>
              <w:divBdr>
                <w:top w:val="none" w:sz="0" w:space="0" w:color="auto"/>
                <w:left w:val="none" w:sz="0" w:space="0" w:color="auto"/>
                <w:bottom w:val="none" w:sz="0" w:space="0" w:color="auto"/>
                <w:right w:val="none" w:sz="0" w:space="0" w:color="auto"/>
              </w:divBdr>
              <w:divsChild>
                <w:div w:id="1389722714">
                  <w:marLeft w:val="0"/>
                  <w:marRight w:val="0"/>
                  <w:marTop w:val="0"/>
                  <w:marBottom w:val="0"/>
                  <w:divBdr>
                    <w:top w:val="none" w:sz="0" w:space="0" w:color="auto"/>
                    <w:left w:val="none" w:sz="0" w:space="0" w:color="auto"/>
                    <w:bottom w:val="none" w:sz="0" w:space="0" w:color="auto"/>
                    <w:right w:val="none" w:sz="0" w:space="0" w:color="auto"/>
                  </w:divBdr>
                </w:div>
              </w:divsChild>
            </w:div>
            <w:div w:id="2146925466">
              <w:marLeft w:val="0"/>
              <w:marRight w:val="0"/>
              <w:marTop w:val="0"/>
              <w:marBottom w:val="0"/>
              <w:divBdr>
                <w:top w:val="none" w:sz="0" w:space="0" w:color="auto"/>
                <w:left w:val="none" w:sz="0" w:space="0" w:color="auto"/>
                <w:bottom w:val="none" w:sz="0" w:space="0" w:color="auto"/>
                <w:right w:val="none" w:sz="0" w:space="0" w:color="auto"/>
              </w:divBdr>
              <w:divsChild>
                <w:div w:id="1141848745">
                  <w:marLeft w:val="0"/>
                  <w:marRight w:val="0"/>
                  <w:marTop w:val="0"/>
                  <w:marBottom w:val="0"/>
                  <w:divBdr>
                    <w:top w:val="none" w:sz="0" w:space="0" w:color="auto"/>
                    <w:left w:val="none" w:sz="0" w:space="0" w:color="auto"/>
                    <w:bottom w:val="none" w:sz="0" w:space="0" w:color="auto"/>
                    <w:right w:val="none" w:sz="0" w:space="0" w:color="auto"/>
                  </w:divBdr>
                </w:div>
              </w:divsChild>
            </w:div>
            <w:div w:id="1103502023">
              <w:marLeft w:val="0"/>
              <w:marRight w:val="0"/>
              <w:marTop w:val="0"/>
              <w:marBottom w:val="0"/>
              <w:divBdr>
                <w:top w:val="none" w:sz="0" w:space="0" w:color="auto"/>
                <w:left w:val="none" w:sz="0" w:space="0" w:color="auto"/>
                <w:bottom w:val="none" w:sz="0" w:space="0" w:color="auto"/>
                <w:right w:val="none" w:sz="0" w:space="0" w:color="auto"/>
              </w:divBdr>
              <w:divsChild>
                <w:div w:id="1695302429">
                  <w:marLeft w:val="0"/>
                  <w:marRight w:val="0"/>
                  <w:marTop w:val="0"/>
                  <w:marBottom w:val="0"/>
                  <w:divBdr>
                    <w:top w:val="none" w:sz="0" w:space="0" w:color="auto"/>
                    <w:left w:val="none" w:sz="0" w:space="0" w:color="auto"/>
                    <w:bottom w:val="none" w:sz="0" w:space="0" w:color="auto"/>
                    <w:right w:val="none" w:sz="0" w:space="0" w:color="auto"/>
                  </w:divBdr>
                </w:div>
              </w:divsChild>
            </w:div>
            <w:div w:id="2033264733">
              <w:marLeft w:val="0"/>
              <w:marRight w:val="0"/>
              <w:marTop w:val="0"/>
              <w:marBottom w:val="0"/>
              <w:divBdr>
                <w:top w:val="none" w:sz="0" w:space="0" w:color="auto"/>
                <w:left w:val="none" w:sz="0" w:space="0" w:color="auto"/>
                <w:bottom w:val="none" w:sz="0" w:space="0" w:color="auto"/>
                <w:right w:val="none" w:sz="0" w:space="0" w:color="auto"/>
              </w:divBdr>
              <w:divsChild>
                <w:div w:id="1353721892">
                  <w:marLeft w:val="0"/>
                  <w:marRight w:val="0"/>
                  <w:marTop w:val="0"/>
                  <w:marBottom w:val="0"/>
                  <w:divBdr>
                    <w:top w:val="none" w:sz="0" w:space="0" w:color="auto"/>
                    <w:left w:val="none" w:sz="0" w:space="0" w:color="auto"/>
                    <w:bottom w:val="none" w:sz="0" w:space="0" w:color="auto"/>
                    <w:right w:val="none" w:sz="0" w:space="0" w:color="auto"/>
                  </w:divBdr>
                </w:div>
              </w:divsChild>
            </w:div>
            <w:div w:id="2029870257">
              <w:marLeft w:val="0"/>
              <w:marRight w:val="0"/>
              <w:marTop w:val="0"/>
              <w:marBottom w:val="0"/>
              <w:divBdr>
                <w:top w:val="none" w:sz="0" w:space="0" w:color="auto"/>
                <w:left w:val="none" w:sz="0" w:space="0" w:color="auto"/>
                <w:bottom w:val="none" w:sz="0" w:space="0" w:color="auto"/>
                <w:right w:val="none" w:sz="0" w:space="0" w:color="auto"/>
              </w:divBdr>
              <w:divsChild>
                <w:div w:id="342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641">
          <w:marLeft w:val="0"/>
          <w:marRight w:val="0"/>
          <w:marTop w:val="0"/>
          <w:marBottom w:val="0"/>
          <w:divBdr>
            <w:top w:val="none" w:sz="0" w:space="0" w:color="auto"/>
            <w:left w:val="none" w:sz="0" w:space="0" w:color="auto"/>
            <w:bottom w:val="none" w:sz="0" w:space="0" w:color="auto"/>
            <w:right w:val="none" w:sz="0" w:space="0" w:color="auto"/>
          </w:divBdr>
          <w:divsChild>
            <w:div w:id="1578444780">
              <w:marLeft w:val="0"/>
              <w:marRight w:val="0"/>
              <w:marTop w:val="0"/>
              <w:marBottom w:val="0"/>
              <w:divBdr>
                <w:top w:val="none" w:sz="0" w:space="0" w:color="auto"/>
                <w:left w:val="none" w:sz="0" w:space="0" w:color="auto"/>
                <w:bottom w:val="none" w:sz="0" w:space="0" w:color="auto"/>
                <w:right w:val="none" w:sz="0" w:space="0" w:color="auto"/>
              </w:divBdr>
              <w:divsChild>
                <w:div w:id="1696232475">
                  <w:marLeft w:val="0"/>
                  <w:marRight w:val="0"/>
                  <w:marTop w:val="0"/>
                  <w:marBottom w:val="0"/>
                  <w:divBdr>
                    <w:top w:val="none" w:sz="0" w:space="0" w:color="auto"/>
                    <w:left w:val="none" w:sz="0" w:space="0" w:color="auto"/>
                    <w:bottom w:val="none" w:sz="0" w:space="0" w:color="auto"/>
                    <w:right w:val="none" w:sz="0" w:space="0" w:color="auto"/>
                  </w:divBdr>
                </w:div>
              </w:divsChild>
            </w:div>
            <w:div w:id="1551965038">
              <w:marLeft w:val="0"/>
              <w:marRight w:val="0"/>
              <w:marTop w:val="0"/>
              <w:marBottom w:val="0"/>
              <w:divBdr>
                <w:top w:val="none" w:sz="0" w:space="0" w:color="auto"/>
                <w:left w:val="none" w:sz="0" w:space="0" w:color="auto"/>
                <w:bottom w:val="none" w:sz="0" w:space="0" w:color="auto"/>
                <w:right w:val="none" w:sz="0" w:space="0" w:color="auto"/>
              </w:divBdr>
              <w:divsChild>
                <w:div w:id="474835207">
                  <w:marLeft w:val="0"/>
                  <w:marRight w:val="0"/>
                  <w:marTop w:val="0"/>
                  <w:marBottom w:val="0"/>
                  <w:divBdr>
                    <w:top w:val="none" w:sz="0" w:space="0" w:color="auto"/>
                    <w:left w:val="none" w:sz="0" w:space="0" w:color="auto"/>
                    <w:bottom w:val="none" w:sz="0" w:space="0" w:color="auto"/>
                    <w:right w:val="none" w:sz="0" w:space="0" w:color="auto"/>
                  </w:divBdr>
                </w:div>
              </w:divsChild>
            </w:div>
            <w:div w:id="1569926314">
              <w:marLeft w:val="0"/>
              <w:marRight w:val="0"/>
              <w:marTop w:val="0"/>
              <w:marBottom w:val="0"/>
              <w:divBdr>
                <w:top w:val="none" w:sz="0" w:space="0" w:color="auto"/>
                <w:left w:val="none" w:sz="0" w:space="0" w:color="auto"/>
                <w:bottom w:val="none" w:sz="0" w:space="0" w:color="auto"/>
                <w:right w:val="none" w:sz="0" w:space="0" w:color="auto"/>
              </w:divBdr>
              <w:divsChild>
                <w:div w:id="1326200251">
                  <w:marLeft w:val="0"/>
                  <w:marRight w:val="0"/>
                  <w:marTop w:val="0"/>
                  <w:marBottom w:val="0"/>
                  <w:divBdr>
                    <w:top w:val="none" w:sz="0" w:space="0" w:color="auto"/>
                    <w:left w:val="none" w:sz="0" w:space="0" w:color="auto"/>
                    <w:bottom w:val="none" w:sz="0" w:space="0" w:color="auto"/>
                    <w:right w:val="none" w:sz="0" w:space="0" w:color="auto"/>
                  </w:divBdr>
                </w:div>
              </w:divsChild>
            </w:div>
            <w:div w:id="30691919">
              <w:marLeft w:val="0"/>
              <w:marRight w:val="0"/>
              <w:marTop w:val="0"/>
              <w:marBottom w:val="0"/>
              <w:divBdr>
                <w:top w:val="none" w:sz="0" w:space="0" w:color="auto"/>
                <w:left w:val="none" w:sz="0" w:space="0" w:color="auto"/>
                <w:bottom w:val="none" w:sz="0" w:space="0" w:color="auto"/>
                <w:right w:val="none" w:sz="0" w:space="0" w:color="auto"/>
              </w:divBdr>
              <w:divsChild>
                <w:div w:id="2077236626">
                  <w:marLeft w:val="0"/>
                  <w:marRight w:val="0"/>
                  <w:marTop w:val="0"/>
                  <w:marBottom w:val="0"/>
                  <w:divBdr>
                    <w:top w:val="none" w:sz="0" w:space="0" w:color="auto"/>
                    <w:left w:val="none" w:sz="0" w:space="0" w:color="auto"/>
                    <w:bottom w:val="none" w:sz="0" w:space="0" w:color="auto"/>
                    <w:right w:val="none" w:sz="0" w:space="0" w:color="auto"/>
                  </w:divBdr>
                </w:div>
              </w:divsChild>
            </w:div>
            <w:div w:id="1787891928">
              <w:marLeft w:val="0"/>
              <w:marRight w:val="0"/>
              <w:marTop w:val="0"/>
              <w:marBottom w:val="0"/>
              <w:divBdr>
                <w:top w:val="none" w:sz="0" w:space="0" w:color="auto"/>
                <w:left w:val="none" w:sz="0" w:space="0" w:color="auto"/>
                <w:bottom w:val="none" w:sz="0" w:space="0" w:color="auto"/>
                <w:right w:val="none" w:sz="0" w:space="0" w:color="auto"/>
              </w:divBdr>
              <w:divsChild>
                <w:div w:id="12361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5868">
      <w:bodyDiv w:val="1"/>
      <w:marLeft w:val="0"/>
      <w:marRight w:val="0"/>
      <w:marTop w:val="0"/>
      <w:marBottom w:val="0"/>
      <w:divBdr>
        <w:top w:val="none" w:sz="0" w:space="0" w:color="auto"/>
        <w:left w:val="none" w:sz="0" w:space="0" w:color="auto"/>
        <w:bottom w:val="none" w:sz="0" w:space="0" w:color="auto"/>
        <w:right w:val="none" w:sz="0" w:space="0" w:color="auto"/>
      </w:divBdr>
    </w:div>
    <w:div w:id="2033992463">
      <w:bodyDiv w:val="1"/>
      <w:marLeft w:val="0"/>
      <w:marRight w:val="0"/>
      <w:marTop w:val="0"/>
      <w:marBottom w:val="0"/>
      <w:divBdr>
        <w:top w:val="none" w:sz="0" w:space="0" w:color="auto"/>
        <w:left w:val="none" w:sz="0" w:space="0" w:color="auto"/>
        <w:bottom w:val="none" w:sz="0" w:space="0" w:color="auto"/>
        <w:right w:val="none" w:sz="0" w:space="0" w:color="auto"/>
      </w:divBdr>
    </w:div>
    <w:div w:id="2138335737">
      <w:bodyDiv w:val="1"/>
      <w:marLeft w:val="0"/>
      <w:marRight w:val="0"/>
      <w:marTop w:val="0"/>
      <w:marBottom w:val="0"/>
      <w:divBdr>
        <w:top w:val="none" w:sz="0" w:space="0" w:color="auto"/>
        <w:left w:val="none" w:sz="0" w:space="0" w:color="auto"/>
        <w:bottom w:val="none" w:sz="0" w:space="0" w:color="auto"/>
        <w:right w:val="none" w:sz="0" w:space="0" w:color="auto"/>
      </w:divBdr>
      <w:divsChild>
        <w:div w:id="1763454937">
          <w:marLeft w:val="0"/>
          <w:marRight w:val="0"/>
          <w:marTop w:val="0"/>
          <w:marBottom w:val="0"/>
          <w:divBdr>
            <w:top w:val="none" w:sz="0" w:space="0" w:color="auto"/>
            <w:left w:val="none" w:sz="0" w:space="0" w:color="auto"/>
            <w:bottom w:val="none" w:sz="0" w:space="0" w:color="auto"/>
            <w:right w:val="none" w:sz="0" w:space="0" w:color="auto"/>
          </w:divBdr>
          <w:divsChild>
            <w:div w:id="1563176909">
              <w:marLeft w:val="0"/>
              <w:marRight w:val="0"/>
              <w:marTop w:val="0"/>
              <w:marBottom w:val="0"/>
              <w:divBdr>
                <w:top w:val="none" w:sz="0" w:space="0" w:color="auto"/>
                <w:left w:val="none" w:sz="0" w:space="0" w:color="auto"/>
                <w:bottom w:val="none" w:sz="0" w:space="0" w:color="auto"/>
                <w:right w:val="none" w:sz="0" w:space="0" w:color="auto"/>
              </w:divBdr>
              <w:divsChild>
                <w:div w:id="372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689">
          <w:marLeft w:val="0"/>
          <w:marRight w:val="0"/>
          <w:marTop w:val="0"/>
          <w:marBottom w:val="0"/>
          <w:divBdr>
            <w:top w:val="none" w:sz="0" w:space="0" w:color="auto"/>
            <w:left w:val="none" w:sz="0" w:space="0" w:color="auto"/>
            <w:bottom w:val="none" w:sz="0" w:space="0" w:color="auto"/>
            <w:right w:val="none" w:sz="0" w:space="0" w:color="auto"/>
          </w:divBdr>
          <w:divsChild>
            <w:div w:id="143086952">
              <w:marLeft w:val="0"/>
              <w:marRight w:val="0"/>
              <w:marTop w:val="0"/>
              <w:marBottom w:val="0"/>
              <w:divBdr>
                <w:top w:val="none" w:sz="0" w:space="0" w:color="auto"/>
                <w:left w:val="none" w:sz="0" w:space="0" w:color="auto"/>
                <w:bottom w:val="none" w:sz="0" w:space="0" w:color="auto"/>
                <w:right w:val="none" w:sz="0" w:space="0" w:color="auto"/>
              </w:divBdr>
              <w:divsChild>
                <w:div w:id="752623205">
                  <w:marLeft w:val="0"/>
                  <w:marRight w:val="0"/>
                  <w:marTop w:val="0"/>
                  <w:marBottom w:val="0"/>
                  <w:divBdr>
                    <w:top w:val="none" w:sz="0" w:space="0" w:color="auto"/>
                    <w:left w:val="none" w:sz="0" w:space="0" w:color="auto"/>
                    <w:bottom w:val="none" w:sz="0" w:space="0" w:color="auto"/>
                    <w:right w:val="none" w:sz="0" w:space="0" w:color="auto"/>
                  </w:divBdr>
                </w:div>
              </w:divsChild>
            </w:div>
            <w:div w:id="35855850">
              <w:marLeft w:val="0"/>
              <w:marRight w:val="0"/>
              <w:marTop w:val="0"/>
              <w:marBottom w:val="0"/>
              <w:divBdr>
                <w:top w:val="none" w:sz="0" w:space="0" w:color="auto"/>
                <w:left w:val="none" w:sz="0" w:space="0" w:color="auto"/>
                <w:bottom w:val="none" w:sz="0" w:space="0" w:color="auto"/>
                <w:right w:val="none" w:sz="0" w:space="0" w:color="auto"/>
              </w:divBdr>
              <w:divsChild>
                <w:div w:id="426846684">
                  <w:marLeft w:val="0"/>
                  <w:marRight w:val="0"/>
                  <w:marTop w:val="0"/>
                  <w:marBottom w:val="0"/>
                  <w:divBdr>
                    <w:top w:val="none" w:sz="0" w:space="0" w:color="auto"/>
                    <w:left w:val="none" w:sz="0" w:space="0" w:color="auto"/>
                    <w:bottom w:val="none" w:sz="0" w:space="0" w:color="auto"/>
                    <w:right w:val="none" w:sz="0" w:space="0" w:color="auto"/>
                  </w:divBdr>
                </w:div>
              </w:divsChild>
            </w:div>
            <w:div w:id="182865819">
              <w:marLeft w:val="0"/>
              <w:marRight w:val="0"/>
              <w:marTop w:val="0"/>
              <w:marBottom w:val="0"/>
              <w:divBdr>
                <w:top w:val="none" w:sz="0" w:space="0" w:color="auto"/>
                <w:left w:val="none" w:sz="0" w:space="0" w:color="auto"/>
                <w:bottom w:val="none" w:sz="0" w:space="0" w:color="auto"/>
                <w:right w:val="none" w:sz="0" w:space="0" w:color="auto"/>
              </w:divBdr>
              <w:divsChild>
                <w:div w:id="402029353">
                  <w:marLeft w:val="0"/>
                  <w:marRight w:val="0"/>
                  <w:marTop w:val="0"/>
                  <w:marBottom w:val="0"/>
                  <w:divBdr>
                    <w:top w:val="none" w:sz="0" w:space="0" w:color="auto"/>
                    <w:left w:val="none" w:sz="0" w:space="0" w:color="auto"/>
                    <w:bottom w:val="none" w:sz="0" w:space="0" w:color="auto"/>
                    <w:right w:val="none" w:sz="0" w:space="0" w:color="auto"/>
                  </w:divBdr>
                </w:div>
              </w:divsChild>
            </w:div>
            <w:div w:id="2056346729">
              <w:marLeft w:val="0"/>
              <w:marRight w:val="0"/>
              <w:marTop w:val="0"/>
              <w:marBottom w:val="0"/>
              <w:divBdr>
                <w:top w:val="none" w:sz="0" w:space="0" w:color="auto"/>
                <w:left w:val="none" w:sz="0" w:space="0" w:color="auto"/>
                <w:bottom w:val="none" w:sz="0" w:space="0" w:color="auto"/>
                <w:right w:val="none" w:sz="0" w:space="0" w:color="auto"/>
              </w:divBdr>
              <w:divsChild>
                <w:div w:id="92559092">
                  <w:marLeft w:val="0"/>
                  <w:marRight w:val="0"/>
                  <w:marTop w:val="0"/>
                  <w:marBottom w:val="0"/>
                  <w:divBdr>
                    <w:top w:val="none" w:sz="0" w:space="0" w:color="auto"/>
                    <w:left w:val="none" w:sz="0" w:space="0" w:color="auto"/>
                    <w:bottom w:val="none" w:sz="0" w:space="0" w:color="auto"/>
                    <w:right w:val="none" w:sz="0" w:space="0" w:color="auto"/>
                  </w:divBdr>
                </w:div>
              </w:divsChild>
            </w:div>
            <w:div w:id="828443131">
              <w:marLeft w:val="0"/>
              <w:marRight w:val="0"/>
              <w:marTop w:val="0"/>
              <w:marBottom w:val="0"/>
              <w:divBdr>
                <w:top w:val="none" w:sz="0" w:space="0" w:color="auto"/>
                <w:left w:val="none" w:sz="0" w:space="0" w:color="auto"/>
                <w:bottom w:val="none" w:sz="0" w:space="0" w:color="auto"/>
                <w:right w:val="none" w:sz="0" w:space="0" w:color="auto"/>
              </w:divBdr>
              <w:divsChild>
                <w:div w:id="14927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2CA5-5E04-49E1-8143-EE4EDA44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2979</Words>
  <Characters>17937</Characters>
  <Application>Microsoft Office Word</Application>
  <DocSecurity>4</DocSecurity>
  <Lines>560</Lines>
  <Paragraphs>222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Lonergan</cp:lastModifiedBy>
  <cp:revision>2</cp:revision>
  <cp:lastPrinted>2024-10-09T17:11:00Z</cp:lastPrinted>
  <dcterms:created xsi:type="dcterms:W3CDTF">2024-10-09T21:33:00Z</dcterms:created>
  <dcterms:modified xsi:type="dcterms:W3CDTF">2024-10-09T21:33:00Z</dcterms:modified>
</cp:coreProperties>
</file>