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B1C9" w14:textId="63C7F07D" w:rsidR="00D64487" w:rsidRPr="00EF11FD" w:rsidRDefault="00B62C31">
      <w:pPr>
        <w:pStyle w:val="Titre"/>
        <w:jc w:val="left"/>
        <w:rPr>
          <w:rFonts w:ascii="Lato" w:hAnsi="Lato"/>
          <w:lang w:val="fr-CA"/>
        </w:rPr>
      </w:pPr>
      <w:bookmarkStart w:id="0" w:name="_Hlk141950453"/>
      <w:r w:rsidRPr="00EF11FD">
        <w:rPr>
          <w:rFonts w:ascii="Lato" w:hAnsi="Lato"/>
          <w:lang w:val="fr-CA"/>
        </w:rPr>
        <w:t>Recommandations de la présidente</w:t>
      </w:r>
    </w:p>
    <w:p w14:paraId="5BF865A0" w14:textId="7369D06E" w:rsidR="00D64487" w:rsidRPr="00EF11FD" w:rsidRDefault="00B62C31">
      <w:pPr>
        <w:pStyle w:val="Sous-titre"/>
        <w:jc w:val="left"/>
        <w:rPr>
          <w:rFonts w:ascii="Lato" w:hAnsi="Lato"/>
          <w:lang w:val="fr-CA"/>
        </w:rPr>
      </w:pPr>
      <w:r w:rsidRPr="00EF11FD">
        <w:rPr>
          <w:rFonts w:ascii="Lato" w:hAnsi="Lato"/>
          <w:lang w:val="fr-CA"/>
        </w:rPr>
        <w:t>Conseil canadien – Halifax – Août</w:t>
      </w:r>
      <w:r w:rsidR="0012721B" w:rsidRPr="00EF11FD">
        <w:rPr>
          <w:rFonts w:ascii="Lato" w:hAnsi="Lato"/>
          <w:lang w:val="fr-CA"/>
        </w:rPr>
        <w:t xml:space="preserve"> 2023</w:t>
      </w:r>
    </w:p>
    <w:p w14:paraId="635FA3D5" w14:textId="77777777" w:rsidR="00D64487" w:rsidRPr="00EF11FD" w:rsidRDefault="00D64487">
      <w:pPr>
        <w:pStyle w:val="Corpsdetexte"/>
        <w:rPr>
          <w:rFonts w:ascii="Lato" w:hAnsi="Lato"/>
          <w:lang w:val="fr-CA"/>
        </w:rPr>
      </w:pPr>
    </w:p>
    <w:sdt>
      <w:sdtPr>
        <w:rPr>
          <w:rFonts w:ascii="Lato" w:hAnsi="Lato"/>
          <w:b w:val="0"/>
          <w:bCs w:val="0"/>
          <w:sz w:val="24"/>
          <w:szCs w:val="24"/>
          <w:lang w:val="fr-CA"/>
        </w:rPr>
        <w:id w:val="-1570653664"/>
        <w:docPartObj>
          <w:docPartGallery w:val="Table of Contents"/>
          <w:docPartUnique/>
        </w:docPartObj>
      </w:sdtPr>
      <w:sdtEndPr/>
      <w:sdtContent>
        <w:p w14:paraId="671D141E" w14:textId="133E6755" w:rsidR="00D64487" w:rsidRPr="00EF11FD" w:rsidRDefault="0012721B">
          <w:pPr>
            <w:pStyle w:val="En-ttedetabledesmatires"/>
            <w:rPr>
              <w:rFonts w:ascii="Lato" w:hAnsi="Lato"/>
              <w:lang w:val="fr-CA"/>
            </w:rPr>
          </w:pPr>
          <w:r w:rsidRPr="00EF11FD">
            <w:rPr>
              <w:rFonts w:ascii="Lato" w:hAnsi="Lato"/>
              <w:lang w:val="fr-CA"/>
            </w:rPr>
            <w:t xml:space="preserve">Table </w:t>
          </w:r>
          <w:r w:rsidR="00B62C31" w:rsidRPr="00EF11FD">
            <w:rPr>
              <w:rFonts w:ascii="Lato" w:hAnsi="Lato"/>
              <w:lang w:val="fr-CA"/>
            </w:rPr>
            <w:t>des matières</w:t>
          </w:r>
        </w:p>
        <w:p w14:paraId="22A9F7F5" w14:textId="6FB82514" w:rsidR="0045492F" w:rsidRPr="00EF11FD" w:rsidRDefault="0012721B">
          <w:pPr>
            <w:pStyle w:val="TM1"/>
            <w:rPr>
              <w:rFonts w:asciiTheme="minorHAnsi" w:eastAsiaTheme="minorEastAsia" w:hAnsiTheme="minorHAnsi" w:cstheme="minorBidi"/>
              <w:noProof/>
              <w:sz w:val="22"/>
              <w:szCs w:val="22"/>
              <w:lang w:val="fr-CA" w:eastAsia="fr-CA" w:bidi="ar-SA"/>
              <w14:ligatures w14:val="standardContextual"/>
            </w:rPr>
          </w:pPr>
          <w:r w:rsidRPr="00EF11FD">
            <w:rPr>
              <w:lang w:val="fr-CA"/>
            </w:rPr>
            <w:fldChar w:fldCharType="begin"/>
          </w:r>
          <w:r w:rsidRPr="00EF11FD">
            <w:rPr>
              <w:rStyle w:val="IndexLink"/>
              <w:rFonts w:ascii="Lato" w:hAnsi="Lato"/>
              <w:lang w:val="fr-CA"/>
            </w:rPr>
            <w:instrText xml:space="preserve"> TOC \f \o "1-9" \h</w:instrText>
          </w:r>
          <w:r w:rsidRPr="00EF11FD">
            <w:rPr>
              <w:rStyle w:val="IndexLink"/>
              <w:rFonts w:ascii="Lato" w:hAnsi="Lato"/>
              <w:lang w:val="fr-CA"/>
            </w:rPr>
            <w:fldChar w:fldCharType="separate"/>
          </w:r>
          <w:hyperlink w:anchor="_Toc141959984" w:history="1">
            <w:r w:rsidR="0045492F" w:rsidRPr="00EF11FD">
              <w:rPr>
                <w:rStyle w:val="Lienhypertexte"/>
                <w:rFonts w:ascii="Lato" w:hAnsi="Lato"/>
                <w:noProof/>
                <w:lang w:val="fr-CA"/>
              </w:rPr>
              <w:t>Recommandation 1 – Bâtir une économie qui ne laisse personne pour compte</w:t>
            </w:r>
            <w:r w:rsidR="0045492F" w:rsidRPr="00EF11FD">
              <w:rPr>
                <w:noProof/>
              </w:rPr>
              <w:tab/>
            </w:r>
            <w:r w:rsidR="0045492F" w:rsidRPr="00EF11FD">
              <w:rPr>
                <w:noProof/>
              </w:rPr>
              <w:fldChar w:fldCharType="begin"/>
            </w:r>
            <w:r w:rsidR="0045492F" w:rsidRPr="00EF11FD">
              <w:rPr>
                <w:noProof/>
              </w:rPr>
              <w:instrText xml:space="preserve"> PAGEREF _Toc141959984 \h </w:instrText>
            </w:r>
            <w:r w:rsidR="0045492F" w:rsidRPr="00EF11FD">
              <w:rPr>
                <w:noProof/>
              </w:rPr>
            </w:r>
            <w:r w:rsidR="0045492F" w:rsidRPr="00EF11FD">
              <w:rPr>
                <w:noProof/>
              </w:rPr>
              <w:fldChar w:fldCharType="separate"/>
            </w:r>
            <w:r w:rsidR="0045492F" w:rsidRPr="00EF11FD">
              <w:rPr>
                <w:noProof/>
              </w:rPr>
              <w:t>1</w:t>
            </w:r>
            <w:r w:rsidR="0045492F" w:rsidRPr="00EF11FD">
              <w:rPr>
                <w:noProof/>
              </w:rPr>
              <w:fldChar w:fldCharType="end"/>
            </w:r>
          </w:hyperlink>
        </w:p>
        <w:p w14:paraId="6D9A477F" w14:textId="1BDFA92B" w:rsidR="0045492F" w:rsidRPr="00EF11FD" w:rsidRDefault="0045492F">
          <w:pPr>
            <w:pStyle w:val="TM1"/>
            <w:rPr>
              <w:rFonts w:asciiTheme="minorHAnsi" w:eastAsiaTheme="minorEastAsia" w:hAnsiTheme="minorHAnsi" w:cstheme="minorBidi"/>
              <w:noProof/>
              <w:sz w:val="22"/>
              <w:szCs w:val="22"/>
              <w:lang w:val="fr-CA" w:eastAsia="fr-CA" w:bidi="ar-SA"/>
              <w14:ligatures w14:val="standardContextual"/>
            </w:rPr>
          </w:pPr>
          <w:hyperlink w:anchor="_Toc141959985" w:history="1">
            <w:r w:rsidRPr="00EF11FD">
              <w:rPr>
                <w:rStyle w:val="Lienhypertexte"/>
                <w:rFonts w:ascii="Lato" w:hAnsi="Lato"/>
                <w:noProof/>
                <w:lang w:val="fr-CA"/>
              </w:rPr>
              <w:t>Recommandation 2 – Soutenir les travailleuses et travailleurs 2SLGBTQIA+</w:t>
            </w:r>
            <w:r w:rsidRPr="00EF11FD">
              <w:rPr>
                <w:noProof/>
              </w:rPr>
              <w:tab/>
            </w:r>
            <w:r w:rsidRPr="00EF11FD">
              <w:rPr>
                <w:noProof/>
              </w:rPr>
              <w:fldChar w:fldCharType="begin"/>
            </w:r>
            <w:r w:rsidRPr="00EF11FD">
              <w:rPr>
                <w:noProof/>
              </w:rPr>
              <w:instrText xml:space="preserve"> PAGEREF _Toc141959985 \h </w:instrText>
            </w:r>
            <w:r w:rsidRPr="00EF11FD">
              <w:rPr>
                <w:noProof/>
              </w:rPr>
            </w:r>
            <w:r w:rsidRPr="00EF11FD">
              <w:rPr>
                <w:noProof/>
              </w:rPr>
              <w:fldChar w:fldCharType="separate"/>
            </w:r>
            <w:r w:rsidRPr="00EF11FD">
              <w:rPr>
                <w:noProof/>
              </w:rPr>
              <w:t>2</w:t>
            </w:r>
            <w:r w:rsidRPr="00EF11FD">
              <w:rPr>
                <w:noProof/>
              </w:rPr>
              <w:fldChar w:fldCharType="end"/>
            </w:r>
          </w:hyperlink>
        </w:p>
        <w:p w14:paraId="52B5B6A4" w14:textId="62D329BB" w:rsidR="0045492F" w:rsidRPr="00EF11FD" w:rsidRDefault="0045492F">
          <w:pPr>
            <w:pStyle w:val="TM1"/>
            <w:rPr>
              <w:rFonts w:asciiTheme="minorHAnsi" w:eastAsiaTheme="minorEastAsia" w:hAnsiTheme="minorHAnsi" w:cstheme="minorBidi"/>
              <w:noProof/>
              <w:sz w:val="22"/>
              <w:szCs w:val="22"/>
              <w:lang w:val="fr-CA" w:eastAsia="fr-CA" w:bidi="ar-SA"/>
              <w14:ligatures w14:val="standardContextual"/>
            </w:rPr>
          </w:pPr>
          <w:hyperlink w:anchor="_Toc141959986" w:history="1">
            <w:r w:rsidRPr="00EF11FD">
              <w:rPr>
                <w:rStyle w:val="Lienhypertexte"/>
                <w:rFonts w:ascii="Lato" w:hAnsi="Lato"/>
                <w:noProof/>
                <w:lang w:val="fr-CA"/>
              </w:rPr>
              <w:t>Recommandation 3 – Négocier la force ouvrière</w:t>
            </w:r>
            <w:r w:rsidRPr="00EF11FD">
              <w:rPr>
                <w:noProof/>
              </w:rPr>
              <w:tab/>
            </w:r>
            <w:r w:rsidRPr="00EF11FD">
              <w:rPr>
                <w:noProof/>
              </w:rPr>
              <w:fldChar w:fldCharType="begin"/>
            </w:r>
            <w:r w:rsidRPr="00EF11FD">
              <w:rPr>
                <w:noProof/>
              </w:rPr>
              <w:instrText xml:space="preserve"> PAGEREF _Toc141959986 \h </w:instrText>
            </w:r>
            <w:r w:rsidRPr="00EF11FD">
              <w:rPr>
                <w:noProof/>
              </w:rPr>
            </w:r>
            <w:r w:rsidRPr="00EF11FD">
              <w:rPr>
                <w:noProof/>
              </w:rPr>
              <w:fldChar w:fldCharType="separate"/>
            </w:r>
            <w:r w:rsidRPr="00EF11FD">
              <w:rPr>
                <w:noProof/>
              </w:rPr>
              <w:t>4</w:t>
            </w:r>
            <w:r w:rsidRPr="00EF11FD">
              <w:rPr>
                <w:noProof/>
              </w:rPr>
              <w:fldChar w:fldCharType="end"/>
            </w:r>
          </w:hyperlink>
        </w:p>
        <w:p w14:paraId="202C93D0" w14:textId="1AD78F43" w:rsidR="0045492F" w:rsidRPr="00EF11FD" w:rsidRDefault="0045492F">
          <w:pPr>
            <w:pStyle w:val="TM1"/>
            <w:rPr>
              <w:rFonts w:asciiTheme="minorHAnsi" w:eastAsiaTheme="minorEastAsia" w:hAnsiTheme="minorHAnsi" w:cstheme="minorBidi"/>
              <w:noProof/>
              <w:sz w:val="22"/>
              <w:szCs w:val="22"/>
              <w:lang w:val="fr-CA" w:eastAsia="fr-CA" w:bidi="ar-SA"/>
              <w14:ligatures w14:val="standardContextual"/>
            </w:rPr>
          </w:pPr>
          <w:hyperlink w:anchor="_Toc141959987" w:history="1">
            <w:r w:rsidRPr="00EF11FD">
              <w:rPr>
                <w:rStyle w:val="Lienhypertexte"/>
                <w:rFonts w:ascii="Lato" w:hAnsi="Lato"/>
                <w:noProof/>
                <w:lang w:val="fr-CA"/>
              </w:rPr>
              <w:t>Recommandation 4 – Recruter de nouveaux membres</w:t>
            </w:r>
            <w:r w:rsidRPr="00EF11FD">
              <w:rPr>
                <w:noProof/>
              </w:rPr>
              <w:tab/>
            </w:r>
            <w:r w:rsidRPr="00EF11FD">
              <w:rPr>
                <w:noProof/>
              </w:rPr>
              <w:fldChar w:fldCharType="begin"/>
            </w:r>
            <w:r w:rsidRPr="00EF11FD">
              <w:rPr>
                <w:noProof/>
              </w:rPr>
              <w:instrText xml:space="preserve"> PAGEREF _Toc141959987 \h </w:instrText>
            </w:r>
            <w:r w:rsidRPr="00EF11FD">
              <w:rPr>
                <w:noProof/>
              </w:rPr>
            </w:r>
            <w:r w:rsidRPr="00EF11FD">
              <w:rPr>
                <w:noProof/>
              </w:rPr>
              <w:fldChar w:fldCharType="separate"/>
            </w:r>
            <w:r w:rsidRPr="00EF11FD">
              <w:rPr>
                <w:noProof/>
              </w:rPr>
              <w:t>5</w:t>
            </w:r>
            <w:r w:rsidRPr="00EF11FD">
              <w:rPr>
                <w:noProof/>
              </w:rPr>
              <w:fldChar w:fldCharType="end"/>
            </w:r>
          </w:hyperlink>
        </w:p>
        <w:p w14:paraId="1DE51F21" w14:textId="692F4B0E" w:rsidR="00D64487" w:rsidRPr="00EF11FD" w:rsidRDefault="0012721B">
          <w:pPr>
            <w:pStyle w:val="TM1"/>
            <w:rPr>
              <w:rFonts w:ascii="Lato" w:hAnsi="Lato"/>
              <w:lang w:val="fr-CA"/>
            </w:rPr>
          </w:pPr>
          <w:r w:rsidRPr="00EF11FD">
            <w:rPr>
              <w:rStyle w:val="IndexLink"/>
              <w:rFonts w:ascii="Lato" w:hAnsi="Lato"/>
              <w:lang w:val="fr-CA"/>
            </w:rPr>
            <w:fldChar w:fldCharType="end"/>
          </w:r>
        </w:p>
      </w:sdtContent>
    </w:sdt>
    <w:p w14:paraId="79E7F400" w14:textId="77777777" w:rsidR="00D64487" w:rsidRPr="00EF11FD" w:rsidRDefault="00D64487">
      <w:pPr>
        <w:pStyle w:val="Titre1"/>
        <w:rPr>
          <w:rFonts w:ascii="Lato" w:hAnsi="Lato"/>
          <w:lang w:val="fr-CA"/>
        </w:rPr>
      </w:pPr>
    </w:p>
    <w:p w14:paraId="5DAEA078" w14:textId="10699D9B" w:rsidR="00D64487" w:rsidRPr="00EF11FD" w:rsidRDefault="0012721B" w:rsidP="00B62C31">
      <w:pPr>
        <w:pStyle w:val="Titre1"/>
        <w:rPr>
          <w:rFonts w:ascii="Lato" w:hAnsi="Lato"/>
          <w:lang w:val="fr-CA"/>
        </w:rPr>
      </w:pPr>
      <w:bookmarkStart w:id="1" w:name="_Toc141959984"/>
      <w:r w:rsidRPr="00EF11FD">
        <w:rPr>
          <w:rFonts w:ascii="Lato" w:hAnsi="Lato"/>
          <w:lang w:val="fr-CA"/>
        </w:rPr>
        <w:t>Recomm</w:t>
      </w:r>
      <w:r w:rsidR="00B62C31" w:rsidRPr="00EF11FD">
        <w:rPr>
          <w:rFonts w:ascii="Lato" w:hAnsi="Lato"/>
          <w:lang w:val="fr-CA"/>
        </w:rPr>
        <w:t>a</w:t>
      </w:r>
      <w:r w:rsidRPr="00EF11FD">
        <w:rPr>
          <w:rFonts w:ascii="Lato" w:hAnsi="Lato"/>
          <w:lang w:val="fr-CA"/>
        </w:rPr>
        <w:t>ndation 1</w:t>
      </w:r>
      <w:r w:rsidR="00B62C31" w:rsidRPr="00EF11FD">
        <w:rPr>
          <w:rFonts w:ascii="Lato" w:hAnsi="Lato"/>
          <w:lang w:val="fr-CA"/>
        </w:rPr>
        <w:t xml:space="preserve"> – Bâtir une économie qui ne laisse personne pour compte</w:t>
      </w:r>
      <w:bookmarkEnd w:id="1"/>
    </w:p>
    <w:p w14:paraId="0F5F1B93" w14:textId="79C81A3B" w:rsidR="00B62C31" w:rsidRPr="00EF11FD" w:rsidRDefault="00B62C31">
      <w:pPr>
        <w:pStyle w:val="Corpsdetexte"/>
        <w:rPr>
          <w:rFonts w:ascii="Lato" w:hAnsi="Lato"/>
          <w:lang w:val="fr-CA"/>
        </w:rPr>
      </w:pPr>
      <w:r w:rsidRPr="00EF11FD">
        <w:rPr>
          <w:rFonts w:ascii="Lato" w:hAnsi="Lato"/>
          <w:lang w:val="fr-CA"/>
        </w:rPr>
        <w:t xml:space="preserve">Les travailleuses et travailleurs </w:t>
      </w:r>
      <w:r w:rsidR="006E2376" w:rsidRPr="00EF11FD">
        <w:rPr>
          <w:rFonts w:ascii="Lato" w:hAnsi="Lato"/>
          <w:lang w:val="fr-CA"/>
        </w:rPr>
        <w:t>vivent diverses</w:t>
      </w:r>
      <w:r w:rsidRPr="00EF11FD">
        <w:rPr>
          <w:rFonts w:ascii="Lato" w:hAnsi="Lato"/>
          <w:lang w:val="fr-CA"/>
        </w:rPr>
        <w:t xml:space="preserve"> difficulté</w:t>
      </w:r>
      <w:r w:rsidR="006E2376" w:rsidRPr="00EF11FD">
        <w:rPr>
          <w:rFonts w:ascii="Lato" w:hAnsi="Lato"/>
          <w:lang w:val="fr-CA"/>
        </w:rPr>
        <w:t>s</w:t>
      </w:r>
      <w:r w:rsidRPr="00EF11FD">
        <w:rPr>
          <w:rFonts w:ascii="Lato" w:hAnsi="Lato"/>
          <w:lang w:val="fr-CA"/>
        </w:rPr>
        <w:t xml:space="preserve">. Qu’il s’agisse des soins de santé, de la crise de l’accessibilité financière ou des transitions industrielles, les travailleuses et travailleurs doivent composer avec </w:t>
      </w:r>
      <w:r w:rsidR="00467114" w:rsidRPr="00EF11FD">
        <w:rPr>
          <w:rFonts w:ascii="Lato" w:hAnsi="Lato"/>
          <w:lang w:val="fr-CA"/>
        </w:rPr>
        <w:t>d</w:t>
      </w:r>
      <w:r w:rsidRPr="00EF11FD">
        <w:rPr>
          <w:rFonts w:ascii="Lato" w:hAnsi="Lato"/>
          <w:lang w:val="fr-CA"/>
        </w:rPr>
        <w:t xml:space="preserve">es menaces qui pèsent sur leur travail et la sécurité de leurs revenus. Certains </w:t>
      </w:r>
      <w:r w:rsidR="007374F7" w:rsidRPr="00EF11FD">
        <w:rPr>
          <w:rFonts w:ascii="Lato" w:hAnsi="Lato"/>
          <w:lang w:val="fr-CA"/>
        </w:rPr>
        <w:t xml:space="preserve">responsables et décideurs </w:t>
      </w:r>
      <w:r w:rsidRPr="00EF11FD">
        <w:rPr>
          <w:rFonts w:ascii="Lato" w:hAnsi="Lato"/>
          <w:lang w:val="fr-CA"/>
        </w:rPr>
        <w:t xml:space="preserve">politiques voudraient nous faire croire que les travailleuses et travailleurs doivent accepter </w:t>
      </w:r>
      <w:r w:rsidR="00C80477" w:rsidRPr="00EF11FD">
        <w:rPr>
          <w:rFonts w:ascii="Lato" w:hAnsi="Lato"/>
          <w:lang w:val="fr-CA"/>
        </w:rPr>
        <w:t>de</w:t>
      </w:r>
      <w:r w:rsidR="00943EFD" w:rsidRPr="00EF11FD">
        <w:rPr>
          <w:rFonts w:ascii="Lato" w:hAnsi="Lato"/>
          <w:lang w:val="fr-CA"/>
        </w:rPr>
        <w:t xml:space="preserve"> </w:t>
      </w:r>
      <w:r w:rsidR="00C80477" w:rsidRPr="00EF11FD">
        <w:rPr>
          <w:rFonts w:ascii="Lato" w:hAnsi="Lato"/>
          <w:lang w:val="fr-CA"/>
        </w:rPr>
        <w:t xml:space="preserve">piètres </w:t>
      </w:r>
      <w:r w:rsidR="00943EFD" w:rsidRPr="00EF11FD">
        <w:rPr>
          <w:rFonts w:ascii="Lato" w:hAnsi="Lato"/>
          <w:lang w:val="fr-CA"/>
        </w:rPr>
        <w:t>résultats pour sauver l’économie.</w:t>
      </w:r>
      <w:r w:rsidR="00EA4FDF" w:rsidRPr="00EF11FD">
        <w:rPr>
          <w:rFonts w:ascii="Lato" w:hAnsi="Lato"/>
          <w:lang w:val="fr-CA"/>
        </w:rPr>
        <w:t xml:space="preserve"> Plutôt que de se laisser intimider par ces menaces ou d’accepter la rhétorique, les membres d’Unifor ont fait preuve de résilience et de détermination dans leur lutte pour obtenir ce que tous les travailleurs et travailleuses du Canada méritent : une économie qui offre de bons emplois, des emplois qui subviennent aux besoins des familles, </w:t>
      </w:r>
      <w:r w:rsidR="00431B08" w:rsidRPr="00EF11FD">
        <w:rPr>
          <w:rFonts w:ascii="Lato" w:hAnsi="Lato"/>
          <w:lang w:val="fr-CA"/>
        </w:rPr>
        <w:t xml:space="preserve">la </w:t>
      </w:r>
      <w:r w:rsidR="00EA4FDF" w:rsidRPr="00EF11FD">
        <w:rPr>
          <w:rFonts w:ascii="Lato" w:hAnsi="Lato"/>
          <w:lang w:val="fr-CA"/>
        </w:rPr>
        <w:t>sécurité du revenu, des soins de santé complets et une amélioration constante de la qualité de vie.</w:t>
      </w:r>
    </w:p>
    <w:p w14:paraId="52ED1DA3" w14:textId="7C9D3525" w:rsidR="00F41AF5" w:rsidRPr="00EF11FD" w:rsidRDefault="00F41AF5" w:rsidP="00FF63D2">
      <w:pPr>
        <w:pStyle w:val="Corpsdetexte"/>
        <w:rPr>
          <w:rFonts w:ascii="Lato" w:hAnsi="Lato"/>
          <w:lang w:val="fr-CA"/>
        </w:rPr>
      </w:pPr>
      <w:r w:rsidRPr="00EF11FD">
        <w:rPr>
          <w:rFonts w:ascii="Lato" w:hAnsi="Lato"/>
          <w:lang w:val="fr-CA"/>
        </w:rPr>
        <w:t xml:space="preserve">Une économie prospère </w:t>
      </w:r>
      <w:r w:rsidR="004567FE" w:rsidRPr="00EF11FD">
        <w:rPr>
          <w:rFonts w:ascii="Lato" w:hAnsi="Lato"/>
          <w:lang w:val="fr-CA"/>
        </w:rPr>
        <w:t>dans laquelle les travailleuses et travailleurs qualifiés occupent de bons emplois et partagent la prospérité n’est pas le fruit du hasard.</w:t>
      </w:r>
      <w:r w:rsidR="0012721B" w:rsidRPr="00EF11FD">
        <w:rPr>
          <w:rFonts w:ascii="Lato" w:hAnsi="Lato"/>
          <w:lang w:val="fr-CA"/>
        </w:rPr>
        <w:t xml:space="preserve"> </w:t>
      </w:r>
      <w:r w:rsidRPr="00EF11FD">
        <w:rPr>
          <w:rFonts w:ascii="Lato" w:hAnsi="Lato"/>
          <w:lang w:val="fr-CA"/>
        </w:rPr>
        <w:t xml:space="preserve">La renaissance industrielle actuelle, qui est à l’origine de la transition vers les </w:t>
      </w:r>
      <w:r w:rsidR="004C7A6E" w:rsidRPr="00EF11FD">
        <w:rPr>
          <w:rFonts w:ascii="Lato" w:hAnsi="Lato"/>
          <w:lang w:val="fr-CA"/>
        </w:rPr>
        <w:t xml:space="preserve">batteries et les </w:t>
      </w:r>
      <w:r w:rsidRPr="00EF11FD">
        <w:rPr>
          <w:rFonts w:ascii="Lato" w:hAnsi="Lato"/>
          <w:lang w:val="fr-CA"/>
        </w:rPr>
        <w:t xml:space="preserve">véhicules électriques, </w:t>
      </w:r>
      <w:r w:rsidR="003A2158" w:rsidRPr="00EF11FD">
        <w:rPr>
          <w:rFonts w:ascii="Lato" w:hAnsi="Lato"/>
          <w:lang w:val="fr-CA"/>
        </w:rPr>
        <w:t xml:space="preserve">est le résultat d’une réflexion stratégique et prospective et d’un investissement public </w:t>
      </w:r>
      <w:r w:rsidR="00FF63D2" w:rsidRPr="00EF11FD">
        <w:rPr>
          <w:rFonts w:ascii="Lato" w:hAnsi="Lato"/>
          <w:lang w:val="fr-CA"/>
        </w:rPr>
        <w:t>dans la réalisation d’une vision économique.</w:t>
      </w:r>
      <w:r w:rsidR="0012721B" w:rsidRPr="00EF11FD">
        <w:rPr>
          <w:rFonts w:ascii="Lato" w:hAnsi="Lato"/>
          <w:lang w:val="fr-CA"/>
        </w:rPr>
        <w:t xml:space="preserve"> </w:t>
      </w:r>
      <w:r w:rsidRPr="00EF11FD">
        <w:rPr>
          <w:rFonts w:ascii="Lato" w:hAnsi="Lato"/>
          <w:lang w:val="fr-CA"/>
        </w:rPr>
        <w:t>Ce leadership doit servir d’exemple dans l’ensemble de notre économie, notamment dans les secteurs des soins de santé, de l’éducation, de la foresterie, de l’énergie, des transports, du transport en commun, des médias et des télécommunications, ainsi que dans les secteurs élargis de la fabrication et des services.</w:t>
      </w:r>
    </w:p>
    <w:p w14:paraId="4313FDD5" w14:textId="06DE7360" w:rsidR="005E6161" w:rsidRPr="00EF11FD" w:rsidRDefault="005E6161">
      <w:pPr>
        <w:pStyle w:val="Corpsdetexte"/>
        <w:rPr>
          <w:rFonts w:ascii="Lato" w:hAnsi="Lato"/>
          <w:lang w:val="fr-CA"/>
        </w:rPr>
      </w:pPr>
      <w:r w:rsidRPr="00EF11FD">
        <w:rPr>
          <w:rFonts w:ascii="Lato" w:hAnsi="Lato"/>
          <w:lang w:val="fr-CA"/>
        </w:rPr>
        <w:t>Les gouvernements doivent être ambitieux. Ils doivent accroître les investissements et établir des normes qui lient les investissements publics aux objectifs sociaux et de développement durable.</w:t>
      </w:r>
    </w:p>
    <w:p w14:paraId="255936A3" w14:textId="7D02BCCD" w:rsidR="005E6161" w:rsidRPr="00EF11FD" w:rsidRDefault="005E6161">
      <w:pPr>
        <w:pStyle w:val="Corpsdetexte"/>
        <w:rPr>
          <w:rFonts w:ascii="Lato" w:hAnsi="Lato"/>
          <w:lang w:val="fr-CA"/>
        </w:rPr>
      </w:pPr>
      <w:r w:rsidRPr="002830BC">
        <w:rPr>
          <w:rFonts w:ascii="Lato" w:eastAsiaTheme="minorHAnsi" w:hAnsi="Lato" w:cstheme="minorBidi"/>
          <w:lang w:val="fr-CA" w:eastAsia="en-US" w:bidi="ar-SA"/>
          <w14:ligatures w14:val="standardContextual"/>
        </w:rPr>
        <w:lastRenderedPageBreak/>
        <w:t xml:space="preserve">À titre de présidente nationale d’Unifor, </w:t>
      </w:r>
      <w:r w:rsidRPr="00EF11FD">
        <w:rPr>
          <w:rFonts w:ascii="Lato" w:eastAsiaTheme="minorHAnsi" w:hAnsi="Lato" w:cstheme="minorBidi"/>
          <w:lang w:val="fr-CA" w:eastAsia="en-US" w:bidi="ar-SA"/>
          <w14:ligatures w14:val="standardContextual"/>
        </w:rPr>
        <w:t>je recommande</w:t>
      </w:r>
      <w:r w:rsidRPr="00EF11FD">
        <w:rPr>
          <w:rFonts w:ascii="Lato" w:eastAsiaTheme="minorHAnsi" w:hAnsi="Lato" w:cstheme="minorBidi"/>
          <w:lang w:val="fr-CA" w:eastAsia="en-US" w:bidi="ar-SA"/>
          <w14:ligatures w14:val="standardContextual"/>
        </w:rPr>
        <w:t xml:space="preserve"> qu’Unifor :</w:t>
      </w:r>
    </w:p>
    <w:p w14:paraId="1BE45E69" w14:textId="2846DCF6" w:rsidR="00343CB4" w:rsidRPr="00EF11FD" w:rsidRDefault="00343CB4">
      <w:pPr>
        <w:pStyle w:val="Corpsdetexte"/>
        <w:numPr>
          <w:ilvl w:val="0"/>
          <w:numId w:val="2"/>
        </w:numPr>
        <w:rPr>
          <w:rFonts w:ascii="Lato" w:hAnsi="Lato"/>
          <w:lang w:val="fr-CA"/>
        </w:rPr>
      </w:pPr>
      <w:r w:rsidRPr="00EF11FD">
        <w:rPr>
          <w:rFonts w:ascii="Lato" w:hAnsi="Lato"/>
          <w:lang w:val="fr-CA"/>
        </w:rPr>
        <w:t xml:space="preserve">demande à tous les ordres de gouvernement d’élaborer des stratégies industrielles dans les secteurs de </w:t>
      </w:r>
      <w:r w:rsidR="00004808" w:rsidRPr="00EF11FD">
        <w:rPr>
          <w:rFonts w:ascii="Lato" w:hAnsi="Lato"/>
          <w:lang w:val="fr-CA"/>
        </w:rPr>
        <w:t xml:space="preserve">la </w:t>
      </w:r>
      <w:r w:rsidRPr="00EF11FD">
        <w:rPr>
          <w:rFonts w:ascii="Lato" w:hAnsi="Lato"/>
          <w:lang w:val="fr-CA"/>
        </w:rPr>
        <w:t xml:space="preserve">production de biens et de services afin d’attirer les investissements locaux, de créer de bons emplois syndiqués, et de définir des objectifs sociaux et de développement durable. Unifor </w:t>
      </w:r>
      <w:r w:rsidR="00A34122" w:rsidRPr="00EF11FD">
        <w:rPr>
          <w:rFonts w:ascii="Lato" w:hAnsi="Lato"/>
          <w:lang w:val="fr-CA"/>
        </w:rPr>
        <w:t xml:space="preserve">contribuera à ces efforts en réitérant et en promouvant </w:t>
      </w:r>
      <w:r w:rsidR="00972AE5" w:rsidRPr="00EF11FD">
        <w:rPr>
          <w:rFonts w:ascii="Lato" w:hAnsi="Lato"/>
          <w:lang w:val="fr-CA"/>
        </w:rPr>
        <w:t>continuellement les stratégies sectorielles du syndicat, en collaboration avec les conseils industriels;</w:t>
      </w:r>
    </w:p>
    <w:p w14:paraId="07372DAB" w14:textId="06C8E3C0" w:rsidR="007D69A4" w:rsidRPr="00EF11FD" w:rsidRDefault="007D69A4">
      <w:pPr>
        <w:pStyle w:val="Corpsdetexte"/>
        <w:numPr>
          <w:ilvl w:val="0"/>
          <w:numId w:val="2"/>
        </w:numPr>
        <w:rPr>
          <w:rFonts w:ascii="Lato" w:hAnsi="Lato"/>
          <w:lang w:val="fr-CA"/>
        </w:rPr>
      </w:pPr>
      <w:r w:rsidRPr="00EF11FD">
        <w:rPr>
          <w:rFonts w:ascii="Lato" w:hAnsi="Lato"/>
          <w:lang w:val="fr-CA"/>
        </w:rPr>
        <w:t xml:space="preserve">exhorte tous les ordres de gouvernement à </w:t>
      </w:r>
      <w:r w:rsidR="00E743CA" w:rsidRPr="00EF11FD">
        <w:rPr>
          <w:rFonts w:ascii="Lato" w:hAnsi="Lato"/>
          <w:lang w:val="fr-CA"/>
        </w:rPr>
        <w:t>assumer la responsabilité de la pénurie de main</w:t>
      </w:r>
      <w:r w:rsidR="00E743CA" w:rsidRPr="00EF11FD">
        <w:rPr>
          <w:rFonts w:ascii="Lato" w:hAnsi="Lato"/>
          <w:lang w:val="fr-CA"/>
        </w:rPr>
        <w:noBreakHyphen/>
        <w:t>d’œuvre dans le secteur public élargi et à élaborer des stratégies globales pour améliorer les conditions de travail et les normes de service;</w:t>
      </w:r>
    </w:p>
    <w:p w14:paraId="2167F301" w14:textId="7851035F" w:rsidR="00E743CA" w:rsidRPr="00EF11FD" w:rsidRDefault="00E743CA">
      <w:pPr>
        <w:pStyle w:val="Corpsdetexte"/>
        <w:numPr>
          <w:ilvl w:val="0"/>
          <w:numId w:val="2"/>
        </w:numPr>
        <w:rPr>
          <w:rFonts w:ascii="Lato" w:hAnsi="Lato"/>
          <w:lang w:val="fr-CA"/>
        </w:rPr>
      </w:pPr>
      <w:r w:rsidRPr="00EF11FD">
        <w:rPr>
          <w:rFonts w:ascii="Lato" w:hAnsi="Lato"/>
          <w:lang w:val="fr-CA"/>
        </w:rPr>
        <w:t>c</w:t>
      </w:r>
      <w:r w:rsidR="00744EDE" w:rsidRPr="00EF11FD">
        <w:rPr>
          <w:rFonts w:ascii="Lato" w:hAnsi="Lato"/>
          <w:lang w:val="fr-CA"/>
        </w:rPr>
        <w:t>onçoive et favorise de solides programmes de soutien à l’adaptation de la main</w:t>
      </w:r>
      <w:r w:rsidR="00744EDE" w:rsidRPr="00EF11FD">
        <w:rPr>
          <w:rFonts w:ascii="Lato" w:hAnsi="Lato"/>
          <w:lang w:val="fr-CA"/>
        </w:rPr>
        <w:noBreakHyphen/>
        <w:t xml:space="preserve">d’œuvre à l’échelle de l’économie, y compris des centres d’aide communautaires aux chômeurs gérés par les syndicats </w:t>
      </w:r>
      <w:r w:rsidR="00400F0B" w:rsidRPr="00EF11FD">
        <w:rPr>
          <w:rFonts w:ascii="Lato" w:hAnsi="Lato"/>
          <w:lang w:val="fr-CA"/>
        </w:rPr>
        <w:t xml:space="preserve">qui offrent </w:t>
      </w:r>
      <w:r w:rsidR="00C55D2C" w:rsidRPr="00EF11FD">
        <w:rPr>
          <w:rFonts w:ascii="Lato" w:hAnsi="Lato"/>
          <w:lang w:val="fr-CA"/>
        </w:rPr>
        <w:t>une panoplie de mesures de soutien à la transition professionnelle pour les travailleuses et travailleurs touchés par la suppression d’emplois, dans le cadre des efforts du syndicat pour favoriser une transition juste et durable;</w:t>
      </w:r>
    </w:p>
    <w:p w14:paraId="15977C9D" w14:textId="1D9674A5" w:rsidR="00C55D2C" w:rsidRPr="00EF11FD" w:rsidRDefault="00C55D2C">
      <w:pPr>
        <w:pStyle w:val="Corpsdetexte"/>
        <w:numPr>
          <w:ilvl w:val="0"/>
          <w:numId w:val="2"/>
        </w:numPr>
        <w:rPr>
          <w:rFonts w:ascii="Lato" w:hAnsi="Lato" w:cs="Calibri"/>
          <w:lang w:val="fr-CA"/>
        </w:rPr>
      </w:pPr>
      <w:r w:rsidRPr="00EF11FD">
        <w:rPr>
          <w:rFonts w:ascii="Lato" w:hAnsi="Lato"/>
          <w:lang w:val="fr-CA"/>
        </w:rPr>
        <w:t xml:space="preserve">exhorte les gouvernements à adopter des conditions strictes et </w:t>
      </w:r>
      <w:r w:rsidR="00236618" w:rsidRPr="00EF11FD">
        <w:rPr>
          <w:rFonts w:ascii="Lato" w:hAnsi="Lato"/>
          <w:lang w:val="fr-CA"/>
        </w:rPr>
        <w:t>exécutoires</w:t>
      </w:r>
      <w:r w:rsidRPr="00EF11FD">
        <w:rPr>
          <w:rFonts w:ascii="Lato" w:hAnsi="Lato"/>
          <w:lang w:val="fr-CA"/>
        </w:rPr>
        <w:t xml:space="preserve"> afin de garantir que les investissements publics dans les entreprises privées et les programmes publics </w:t>
      </w:r>
      <w:r w:rsidR="00117309" w:rsidRPr="00EF11FD">
        <w:rPr>
          <w:rFonts w:ascii="Lato" w:hAnsi="Lato"/>
          <w:lang w:val="fr-CA"/>
        </w:rPr>
        <w:t xml:space="preserve">profitent </w:t>
      </w:r>
      <w:r w:rsidR="00C0688B" w:rsidRPr="00EF11FD">
        <w:rPr>
          <w:rFonts w:ascii="Lato" w:hAnsi="Lato"/>
          <w:lang w:val="fr-CA"/>
        </w:rPr>
        <w:t xml:space="preserve">à </w:t>
      </w:r>
      <w:r w:rsidRPr="00EF11FD">
        <w:rPr>
          <w:rFonts w:ascii="Lato" w:hAnsi="Lato"/>
          <w:lang w:val="fr-CA"/>
        </w:rPr>
        <w:t xml:space="preserve">l’économie canadienne, </w:t>
      </w:r>
      <w:r w:rsidR="00E07910" w:rsidRPr="00EF11FD">
        <w:rPr>
          <w:rFonts w:ascii="Lato" w:hAnsi="Lato"/>
          <w:lang w:val="fr-CA"/>
        </w:rPr>
        <w:t xml:space="preserve">servent à </w:t>
      </w:r>
      <w:r w:rsidR="00C0688B" w:rsidRPr="00EF11FD">
        <w:rPr>
          <w:rFonts w:ascii="Lato" w:hAnsi="Lato"/>
          <w:lang w:val="fr-CA"/>
        </w:rPr>
        <w:t>défendre les droits des travailleuses et travailleurs, et préserve</w:t>
      </w:r>
      <w:r w:rsidR="00E07910" w:rsidRPr="00EF11FD">
        <w:rPr>
          <w:rFonts w:ascii="Lato" w:hAnsi="Lato"/>
          <w:lang w:val="fr-CA"/>
        </w:rPr>
        <w:t xml:space="preserve">nt </w:t>
      </w:r>
      <w:r w:rsidR="00405313" w:rsidRPr="00EF11FD">
        <w:rPr>
          <w:rFonts w:ascii="Lato" w:hAnsi="Lato"/>
          <w:lang w:val="fr-CA"/>
        </w:rPr>
        <w:t>les</w:t>
      </w:r>
      <w:r w:rsidR="00C0688B" w:rsidRPr="00EF11FD">
        <w:rPr>
          <w:rFonts w:ascii="Lato" w:hAnsi="Lato"/>
          <w:lang w:val="fr-CA"/>
        </w:rPr>
        <w:t xml:space="preserve"> bons emplois syndiqués;</w:t>
      </w:r>
    </w:p>
    <w:p w14:paraId="1BD522A7" w14:textId="464DED31" w:rsidR="0066035C" w:rsidRPr="00EF11FD" w:rsidRDefault="0066035C">
      <w:pPr>
        <w:pStyle w:val="Corpsdetexte"/>
        <w:numPr>
          <w:ilvl w:val="0"/>
          <w:numId w:val="2"/>
        </w:numPr>
        <w:rPr>
          <w:rFonts w:ascii="Lato" w:hAnsi="Lato" w:cs="Calibri"/>
          <w:lang w:val="fr-CA"/>
        </w:rPr>
      </w:pPr>
      <w:r w:rsidRPr="00EF11FD">
        <w:rPr>
          <w:rFonts w:ascii="Lato" w:hAnsi="Lato"/>
          <w:lang w:val="fr-CA"/>
        </w:rPr>
        <w:t>déploie des campagnes visant à tirer parti des marchés publics pour accroître l’empreinte des produits et des services fabriqués au Canada, y compris les trains, les autobus, les wagons et les services de télécommunications, créant ainsi des emplois au Canada et garantissant que les fonds publics maximisent la valeur économique locale plutôt que de viser le coût le plus bas;</w:t>
      </w:r>
    </w:p>
    <w:p w14:paraId="5A6840A4" w14:textId="61E077AA" w:rsidR="0066035C" w:rsidRPr="00EF11FD" w:rsidRDefault="0066035C">
      <w:pPr>
        <w:pStyle w:val="Corpsdetexte"/>
        <w:numPr>
          <w:ilvl w:val="0"/>
          <w:numId w:val="2"/>
        </w:numPr>
        <w:rPr>
          <w:rFonts w:ascii="Lato" w:hAnsi="Lato"/>
          <w:lang w:val="fr-CA"/>
        </w:rPr>
      </w:pPr>
      <w:r w:rsidRPr="00EF11FD">
        <w:rPr>
          <w:rFonts w:ascii="Lato" w:hAnsi="Lato"/>
          <w:lang w:val="fr-CA"/>
        </w:rPr>
        <w:t>continue de lutter contre la crise de l’accessibilité financière au Canada et ses causes principales en s’attaquant directement aux bénéfices des entreprises, à la financiarisation du marché du logement, au manque de logements abordables</w:t>
      </w:r>
      <w:r w:rsidR="005A63D6" w:rsidRPr="00EF11FD">
        <w:rPr>
          <w:rFonts w:ascii="Lato" w:hAnsi="Lato"/>
          <w:lang w:val="fr-CA"/>
        </w:rPr>
        <w:t xml:space="preserve"> et</w:t>
      </w:r>
      <w:r w:rsidRPr="00EF11FD">
        <w:rPr>
          <w:rFonts w:ascii="Lato" w:hAnsi="Lato"/>
          <w:lang w:val="fr-CA"/>
        </w:rPr>
        <w:t xml:space="preserve"> à la hausse des taux d’intérêt,</w:t>
      </w:r>
      <w:r w:rsidR="005A63D6" w:rsidRPr="00EF11FD">
        <w:rPr>
          <w:rFonts w:ascii="Lato" w:hAnsi="Lato"/>
          <w:lang w:val="fr-CA"/>
        </w:rPr>
        <w:t xml:space="preserve"> et en veillant à ce que les salaires des travailleuses et travailleurs soient protégés en période d’inflation élevée. Le programme de négociation collective d’Unifor doit s’inscrire dans ces objectifs.</w:t>
      </w:r>
    </w:p>
    <w:p w14:paraId="6DA33C29" w14:textId="77777777" w:rsidR="005A63D6" w:rsidRPr="00EF11FD" w:rsidRDefault="005A63D6" w:rsidP="005A63D6">
      <w:pPr>
        <w:pStyle w:val="Corpsdetexte"/>
        <w:ind w:left="720"/>
        <w:rPr>
          <w:rFonts w:ascii="Lato" w:hAnsi="Lato"/>
          <w:lang w:val="fr-CA"/>
        </w:rPr>
      </w:pPr>
    </w:p>
    <w:p w14:paraId="7353CCDB" w14:textId="44BE0AEB" w:rsidR="00D64487" w:rsidRPr="00EF11FD" w:rsidRDefault="00CE04DC" w:rsidP="00CE04DC">
      <w:pPr>
        <w:pStyle w:val="Titre1"/>
        <w:rPr>
          <w:rFonts w:ascii="Lato" w:hAnsi="Lato"/>
          <w:sz w:val="32"/>
          <w:szCs w:val="32"/>
          <w:lang w:val="fr-CA"/>
        </w:rPr>
      </w:pPr>
      <w:bookmarkStart w:id="2" w:name="_Toc141959985"/>
      <w:bookmarkEnd w:id="0"/>
      <w:r w:rsidRPr="00EF11FD">
        <w:rPr>
          <w:rFonts w:ascii="Lato" w:hAnsi="Lato"/>
          <w:lang w:val="fr-CA"/>
        </w:rPr>
        <w:t>Recommandation</w:t>
      </w:r>
      <w:r w:rsidR="0012721B" w:rsidRPr="00EF11FD">
        <w:rPr>
          <w:rFonts w:ascii="Lato" w:hAnsi="Lato"/>
          <w:lang w:val="fr-CA"/>
        </w:rPr>
        <w:t xml:space="preserve"> 2 </w:t>
      </w:r>
      <w:r w:rsidRPr="00EF11FD">
        <w:rPr>
          <w:rFonts w:ascii="Lato" w:hAnsi="Lato"/>
          <w:lang w:val="fr-CA"/>
        </w:rPr>
        <w:t>– Sou</w:t>
      </w:r>
      <w:r w:rsidR="00AB31FB" w:rsidRPr="00EF11FD">
        <w:rPr>
          <w:rFonts w:ascii="Lato" w:hAnsi="Lato"/>
          <w:lang w:val="fr-CA"/>
        </w:rPr>
        <w:t xml:space="preserve">tenir les </w:t>
      </w:r>
      <w:r w:rsidRPr="00EF11FD">
        <w:rPr>
          <w:rFonts w:ascii="Lato" w:hAnsi="Lato"/>
          <w:lang w:val="fr-CA"/>
        </w:rPr>
        <w:t xml:space="preserve">travailleuses et travailleurs </w:t>
      </w:r>
      <w:r w:rsidR="0012721B" w:rsidRPr="00EF11FD">
        <w:rPr>
          <w:rFonts w:ascii="Lato" w:hAnsi="Lato"/>
          <w:lang w:val="fr-CA"/>
        </w:rPr>
        <w:t>2SLGBTQIA+</w:t>
      </w:r>
      <w:bookmarkEnd w:id="2"/>
    </w:p>
    <w:p w14:paraId="70E6EE48" w14:textId="5273AE01" w:rsidR="00D64487" w:rsidRPr="00EF11FD" w:rsidRDefault="00CE04DC">
      <w:pPr>
        <w:pStyle w:val="Corpsdetexte"/>
        <w:rPr>
          <w:rFonts w:ascii="Lato" w:hAnsi="Lato"/>
          <w:lang w:val="fr-CA"/>
        </w:rPr>
      </w:pPr>
      <w:r w:rsidRPr="00CE04DC">
        <w:rPr>
          <w:rFonts w:ascii="Lato" w:eastAsiaTheme="minorHAnsi" w:hAnsi="Lato" w:cstheme="minorBidi"/>
          <w:lang w:val="fr-CA" w:eastAsia="en-US" w:bidi="ar-SA"/>
          <w14:ligatures w14:val="standardContextual"/>
        </w:rPr>
        <w:t xml:space="preserve">Le Canada, connu pour sa diversité et sa tolérance, </w:t>
      </w:r>
      <w:r w:rsidRPr="00EF11FD">
        <w:rPr>
          <w:rFonts w:ascii="Lato" w:eastAsiaTheme="minorHAnsi" w:hAnsi="Lato" w:cstheme="minorBidi"/>
          <w:lang w:val="fr-CA" w:eastAsia="en-US" w:bidi="ar-SA"/>
          <w14:ligatures w14:val="standardContextual"/>
        </w:rPr>
        <w:t>a vu une recrudescence des attaques contre</w:t>
      </w:r>
      <w:r w:rsidRPr="00CE04DC">
        <w:rPr>
          <w:rFonts w:ascii="Lato" w:eastAsiaTheme="minorHAnsi" w:hAnsi="Lato" w:cstheme="minorBidi"/>
          <w:lang w:val="fr-CA" w:eastAsia="en-US" w:bidi="ar-SA"/>
          <w14:ligatures w14:val="standardContextual"/>
        </w:rPr>
        <w:t xml:space="preserve"> les membres de la communauté 2SLGBTQIA+. Malgré </w:t>
      </w:r>
      <w:r w:rsidRPr="00EF11FD">
        <w:rPr>
          <w:rFonts w:ascii="Lato" w:eastAsiaTheme="minorHAnsi" w:hAnsi="Lato" w:cstheme="minorBidi"/>
          <w:lang w:val="fr-CA" w:eastAsia="en-US" w:bidi="ar-SA"/>
          <w14:ligatures w14:val="standardContextual"/>
        </w:rPr>
        <w:t>certains</w:t>
      </w:r>
      <w:r w:rsidRPr="00CE04DC">
        <w:rPr>
          <w:rFonts w:ascii="Lato" w:eastAsiaTheme="minorHAnsi" w:hAnsi="Lato" w:cstheme="minorBidi"/>
          <w:lang w:val="fr-CA" w:eastAsia="en-US" w:bidi="ar-SA"/>
          <w14:ligatures w14:val="standardContextual"/>
        </w:rPr>
        <w:t xml:space="preserve"> progrès, la discrimination, les </w:t>
      </w:r>
      <w:r w:rsidRPr="00CE04DC">
        <w:rPr>
          <w:rFonts w:ascii="Lato" w:eastAsiaTheme="minorHAnsi" w:hAnsi="Lato" w:cstheme="minorBidi"/>
          <w:lang w:val="fr-CA" w:eastAsia="en-US" w:bidi="ar-SA"/>
          <w14:ligatures w14:val="standardContextual"/>
        </w:rPr>
        <w:lastRenderedPageBreak/>
        <w:t>problèmes de santé mentale, les disparités en matière de soins de santé, l’intimidation et l’itinérance persistent pour les personnes de cette communauté</w:t>
      </w:r>
      <w:r w:rsidR="0012721B" w:rsidRPr="00EF11FD">
        <w:rPr>
          <w:rFonts w:ascii="Lato" w:hAnsi="Lato"/>
          <w:lang w:val="fr-CA"/>
        </w:rPr>
        <w:t>.</w:t>
      </w:r>
    </w:p>
    <w:p w14:paraId="45D2E42C" w14:textId="77777777" w:rsidR="00087758" w:rsidRPr="00087758" w:rsidRDefault="00087758" w:rsidP="00087758">
      <w:pPr>
        <w:spacing w:after="140" w:line="276" w:lineRule="auto"/>
        <w:rPr>
          <w:rFonts w:ascii="Lato" w:eastAsiaTheme="minorHAnsi" w:hAnsi="Lato" w:cstheme="minorBidi"/>
          <w:lang w:val="fr-CA" w:eastAsia="en-US" w:bidi="ar-SA"/>
          <w14:ligatures w14:val="standardContextual"/>
        </w:rPr>
      </w:pPr>
      <w:r w:rsidRPr="00087758">
        <w:rPr>
          <w:rFonts w:ascii="Lato" w:eastAsiaTheme="minorHAnsi" w:hAnsi="Lato" w:cstheme="minorBidi"/>
          <w:lang w:val="fr-CA" w:eastAsia="en-US" w:bidi="ar-SA"/>
          <w14:ligatures w14:val="standardContextual"/>
        </w:rPr>
        <w:t>Heureusement, les sections locales peuvent agir, grâce au pouvoir de l’action collective et de la solidarité, pour accroître le soutien et la protection des membres 2SLGBTQIA+.</w:t>
      </w:r>
    </w:p>
    <w:p w14:paraId="0C85554D" w14:textId="6687748F" w:rsidR="00C7104D" w:rsidRPr="00EF11FD" w:rsidRDefault="00C7104D">
      <w:pPr>
        <w:pStyle w:val="Corpsdetexte"/>
        <w:rPr>
          <w:rFonts w:ascii="Lato" w:hAnsi="Lato"/>
          <w:lang w:val="fr-CA"/>
        </w:rPr>
      </w:pPr>
      <w:r w:rsidRPr="00C7104D">
        <w:rPr>
          <w:rFonts w:ascii="Lato" w:eastAsiaTheme="minorHAnsi" w:hAnsi="Lato" w:cstheme="minorBidi"/>
          <w:lang w:val="fr-CA" w:eastAsia="en-US" w:bidi="ar-SA"/>
          <w14:ligatures w14:val="standardContextual"/>
        </w:rPr>
        <w:t xml:space="preserve">La vérification de l’équité en matière d’emploi dans les conventions collectives et auprès des membres fournit des perspectives inestimables </w:t>
      </w:r>
      <w:r w:rsidRPr="00EF11FD">
        <w:rPr>
          <w:rFonts w:ascii="Lato" w:eastAsiaTheme="minorHAnsi" w:hAnsi="Lato" w:cstheme="minorBidi"/>
          <w:lang w:val="fr-CA" w:eastAsia="en-US" w:bidi="ar-SA"/>
          <w14:ligatures w14:val="standardContextual"/>
        </w:rPr>
        <w:t xml:space="preserve">sur la façon de </w:t>
      </w:r>
      <w:r w:rsidRPr="00C7104D">
        <w:rPr>
          <w:rFonts w:ascii="Lato" w:eastAsiaTheme="minorHAnsi" w:hAnsi="Lato" w:cstheme="minorBidi"/>
          <w:lang w:val="fr-CA" w:eastAsia="en-US" w:bidi="ar-SA"/>
          <w14:ligatures w14:val="standardContextual"/>
        </w:rPr>
        <w:t xml:space="preserve">créer des milieux de travail inclusifs, notamment en recensant les disparités, en modifiant les conventions pour </w:t>
      </w:r>
      <w:r w:rsidRPr="00EF11FD">
        <w:rPr>
          <w:rFonts w:ascii="Lato" w:eastAsiaTheme="minorHAnsi" w:hAnsi="Lato" w:cstheme="minorBidi"/>
          <w:lang w:val="fr-CA" w:eastAsia="en-US" w:bidi="ar-SA"/>
          <w14:ligatures w14:val="standardContextual"/>
        </w:rPr>
        <w:t xml:space="preserve">garantir </w:t>
      </w:r>
      <w:r w:rsidRPr="00C7104D">
        <w:rPr>
          <w:rFonts w:ascii="Lato" w:eastAsiaTheme="minorHAnsi" w:hAnsi="Lato" w:cstheme="minorBidi"/>
          <w:lang w:val="fr-CA" w:eastAsia="en-US" w:bidi="ar-SA"/>
          <w14:ligatures w14:val="standardContextual"/>
        </w:rPr>
        <w:t>un traitement équitable, en mobilisant les membres</w:t>
      </w:r>
      <w:r w:rsidRPr="00EF11FD">
        <w:rPr>
          <w:rFonts w:ascii="Lato" w:eastAsiaTheme="minorHAnsi" w:hAnsi="Lato" w:cstheme="minorBidi"/>
          <w:lang w:val="fr-CA" w:eastAsia="en-US" w:bidi="ar-SA"/>
          <w14:ligatures w14:val="standardContextual"/>
        </w:rPr>
        <w:t xml:space="preserve"> </w:t>
      </w:r>
      <w:r w:rsidRPr="00EF11FD">
        <w:rPr>
          <w:rFonts w:ascii="Lato" w:hAnsi="Lato"/>
          <w:lang w:val="fr-CA"/>
        </w:rPr>
        <w:t>2SLGBTQIA+</w:t>
      </w:r>
      <w:r w:rsidRPr="00C7104D">
        <w:rPr>
          <w:rFonts w:ascii="Lato" w:eastAsiaTheme="minorHAnsi" w:hAnsi="Lato" w:cstheme="minorBidi"/>
          <w:lang w:val="fr-CA" w:eastAsia="en-US" w:bidi="ar-SA"/>
          <w14:ligatures w14:val="standardContextual"/>
        </w:rPr>
        <w:t>, en promouvant les initiatives sur la diversité, en défendant la justice sociale et en recrutant des alliés encore plus forts.</w:t>
      </w:r>
      <w:r w:rsidRPr="00EF11FD">
        <w:rPr>
          <w:rFonts w:ascii="Lato" w:eastAsiaTheme="minorHAnsi" w:hAnsi="Lato" w:cstheme="minorBidi"/>
          <w:lang w:val="fr-CA" w:eastAsia="en-US" w:bidi="ar-SA"/>
          <w14:ligatures w14:val="standardContextual"/>
        </w:rPr>
        <w:t xml:space="preserve"> </w:t>
      </w:r>
      <w:r w:rsidRPr="00C7104D">
        <w:rPr>
          <w:rFonts w:ascii="Lato" w:eastAsiaTheme="minorHAnsi" w:hAnsi="Lato" w:cstheme="minorBidi"/>
          <w:lang w:val="fr-CA" w:eastAsia="en-US" w:bidi="ar-SA"/>
          <w14:ligatures w14:val="standardContextual"/>
        </w:rPr>
        <w:t>Privilégier la diversité et l’inclusion</w:t>
      </w:r>
      <w:r w:rsidRPr="00EF11FD">
        <w:rPr>
          <w:rFonts w:ascii="Lato" w:eastAsiaTheme="minorHAnsi" w:hAnsi="Lato" w:cstheme="minorBidi"/>
          <w:lang w:val="fr-CA" w:eastAsia="en-US" w:bidi="ar-SA"/>
          <w14:ligatures w14:val="standardContextual"/>
        </w:rPr>
        <w:t xml:space="preserve"> </w:t>
      </w:r>
      <w:r w:rsidRPr="00C7104D">
        <w:rPr>
          <w:rFonts w:ascii="Lato" w:eastAsiaTheme="minorHAnsi" w:hAnsi="Lato" w:cstheme="minorBidi"/>
          <w:lang w:val="fr-CA" w:eastAsia="en-US" w:bidi="ar-SA"/>
          <w14:ligatures w14:val="standardContextual"/>
        </w:rPr>
        <w:t>donne l’exemple d’une société équitable.</w:t>
      </w:r>
    </w:p>
    <w:p w14:paraId="52AEE1C5" w14:textId="5ACA049E" w:rsidR="002F0EA0" w:rsidRPr="002F0EA0" w:rsidRDefault="002F0EA0" w:rsidP="002F0EA0">
      <w:pPr>
        <w:spacing w:after="140" w:line="276" w:lineRule="auto"/>
        <w:rPr>
          <w:rFonts w:ascii="Lato" w:eastAsiaTheme="minorHAnsi" w:hAnsi="Lato" w:cstheme="minorBidi"/>
          <w:lang w:val="fr-CA" w:eastAsia="en-US" w:bidi="ar-SA"/>
          <w14:ligatures w14:val="standardContextual"/>
        </w:rPr>
      </w:pPr>
      <w:r w:rsidRPr="002F0EA0">
        <w:rPr>
          <w:rFonts w:ascii="Lato" w:eastAsiaTheme="minorHAnsi" w:hAnsi="Lato" w:cstheme="minorBidi"/>
          <w:lang w:val="fr-CA" w:eastAsia="en-US" w:bidi="ar-SA"/>
          <w14:ligatures w14:val="standardContextual"/>
        </w:rPr>
        <w:t xml:space="preserve">Il est essentiel de protéger l’accès aux soins de santé pour les personnes queers et transgenres. Nous pourrons ainsi lutter contre la discrimination historique, nous protéger contre la désindexation des services, favoriser la santé mentale, et créer un environnement de travail sain et inclusif. L’inclusion d’une telle mesure de protection correspond aux valeurs fondamentales </w:t>
      </w:r>
      <w:r w:rsidRPr="00EF11FD">
        <w:rPr>
          <w:rFonts w:ascii="Lato" w:eastAsiaTheme="minorHAnsi" w:hAnsi="Lato" w:cstheme="minorBidi"/>
          <w:lang w:val="fr-CA" w:eastAsia="en-US" w:bidi="ar-SA"/>
          <w14:ligatures w14:val="standardContextual"/>
        </w:rPr>
        <w:t>de notre</w:t>
      </w:r>
      <w:r w:rsidRPr="002F0EA0">
        <w:rPr>
          <w:rFonts w:ascii="Lato" w:eastAsiaTheme="minorHAnsi" w:hAnsi="Lato" w:cstheme="minorBidi"/>
          <w:lang w:val="fr-CA" w:eastAsia="en-US" w:bidi="ar-SA"/>
          <w14:ligatures w14:val="standardContextual"/>
        </w:rPr>
        <w:t xml:space="preserve"> syndicat en matière d’égalité et de justice sociale, de promotion de la santé des membres LGBTQIA+ et de création de milieux de travail inclusifs.</w:t>
      </w:r>
    </w:p>
    <w:p w14:paraId="3BAACDC7" w14:textId="340E4922" w:rsidR="00D64487" w:rsidRPr="00EF11FD" w:rsidRDefault="002F0EA0">
      <w:pPr>
        <w:pStyle w:val="Corpsdetexte"/>
        <w:rPr>
          <w:rFonts w:ascii="Lato" w:hAnsi="Lato"/>
          <w:lang w:val="fr-CA"/>
        </w:rPr>
      </w:pPr>
      <w:r w:rsidRPr="002F0EA0">
        <w:rPr>
          <w:rFonts w:ascii="Lato" w:eastAsiaTheme="minorHAnsi" w:hAnsi="Lato" w:cstheme="minorBidi"/>
          <w:lang w:val="fr-CA" w:eastAsia="en-US" w:bidi="ar-SA"/>
          <w14:ligatures w14:val="standardContextual"/>
        </w:rPr>
        <w:t xml:space="preserve">Inspirée des postes d’intervenantes auprès des femmes et d’intervenantes et d’intervenants en justice raciale d’Unifor, cette recommandation aborde les enjeux auxquels font face les membres 2SLGBTQIA+ et suggère d’envisager la création d’un nouveau poste d’intervenante ou d’intervenant. </w:t>
      </w:r>
      <w:r w:rsidR="006A4C3C" w:rsidRPr="002F0EA0">
        <w:rPr>
          <w:rFonts w:ascii="Lato" w:eastAsiaTheme="minorHAnsi" w:hAnsi="Lato" w:cstheme="minorBidi"/>
          <w:lang w:val="fr-CA" w:eastAsia="en-US" w:bidi="ar-SA"/>
          <w14:ligatures w14:val="standardContextual"/>
        </w:rPr>
        <w:t>Cette personne offrirait un soutien essentiel et veillerait à ce que les voix des membres 2SLGBTQIA+ soient entendues. Elle serait chargée de promouvoir l’inclusivité, de collaborer avec les dirigeantes et dirigeants à mettre en place des mesures de lutte contre la discrimination, et d’établir des partenariats externes</w:t>
      </w:r>
      <w:r w:rsidR="0012721B" w:rsidRPr="00EF11FD">
        <w:rPr>
          <w:rFonts w:ascii="Lato" w:hAnsi="Lato"/>
          <w:lang w:val="fr-CA"/>
        </w:rPr>
        <w:t>.</w:t>
      </w:r>
    </w:p>
    <w:p w14:paraId="349807F2" w14:textId="77777777" w:rsidR="00851238" w:rsidRPr="00851238" w:rsidRDefault="00851238" w:rsidP="00851238">
      <w:pPr>
        <w:spacing w:after="140" w:line="276" w:lineRule="auto"/>
        <w:rPr>
          <w:rFonts w:ascii="Lato" w:eastAsiaTheme="minorHAnsi" w:hAnsi="Lato" w:cstheme="minorBidi"/>
          <w:lang w:val="fr-CA" w:eastAsia="en-US" w:bidi="ar-SA"/>
          <w14:ligatures w14:val="standardContextual"/>
        </w:rPr>
      </w:pPr>
      <w:r w:rsidRPr="00851238">
        <w:rPr>
          <w:rFonts w:ascii="Lato" w:eastAsiaTheme="minorHAnsi" w:hAnsi="Lato" w:cstheme="minorBidi"/>
          <w:lang w:val="fr-CA" w:eastAsia="en-US" w:bidi="ar-SA"/>
          <w14:ligatures w14:val="standardContextual"/>
        </w:rPr>
        <w:t>L’intervenante ou l’intervenant auprès des membres 2SLGBTQIA+ doit disposer du temps et des ressources nécessaires pour assurer une défense efficace. Ce rôle témoigne de notre engagement en faveur de milieux de travail inclusifs et stimulants pour tous les membres. J’exhorte les comités de négociation à envisager l’intégration de ce poste pour favoriser la diversité et l’égalité et défendre les droits des membres.</w:t>
      </w:r>
    </w:p>
    <w:p w14:paraId="0496424C" w14:textId="77777777" w:rsidR="00851238" w:rsidRPr="00851238" w:rsidRDefault="00851238" w:rsidP="00851238">
      <w:pPr>
        <w:spacing w:after="140" w:line="276" w:lineRule="auto"/>
        <w:rPr>
          <w:rFonts w:ascii="Lato" w:eastAsiaTheme="minorHAnsi" w:hAnsi="Lato" w:cstheme="minorBidi"/>
          <w:lang w:val="fr-CA" w:eastAsia="en-US" w:bidi="ar-SA"/>
          <w14:ligatures w14:val="standardContextual"/>
        </w:rPr>
      </w:pPr>
      <w:r w:rsidRPr="00851238">
        <w:rPr>
          <w:rFonts w:ascii="Lato" w:eastAsiaTheme="minorHAnsi" w:hAnsi="Lato" w:cstheme="minorBidi"/>
          <w:lang w:val="fr-CA" w:eastAsia="en-US" w:bidi="ar-SA"/>
          <w14:ligatures w14:val="standardContextual"/>
        </w:rPr>
        <w:t>Les syndicats ont toujours abordé sur plusieurs fronts les problèmes avec lesquels doivent composer certaines communautés, notamment par le biais de campagnes thématiques et des avancées réalisées au chapitre de la négociation collective. Face à la hausse des attaques à l’encontre des personnes issues de la communauté 2SLGBTQIA+, j’invite les sections locales à intensifier leurs efforts pour soutenir cette communauté et garantir des milieux de travail sûrs, accueillants et fiers pour tout le monde.</w:t>
      </w:r>
    </w:p>
    <w:p w14:paraId="5CE7C6EB" w14:textId="7D0D7A2D" w:rsidR="002830BC" w:rsidRPr="002830BC" w:rsidRDefault="002830BC" w:rsidP="002830BC">
      <w:pPr>
        <w:spacing w:after="140" w:line="276" w:lineRule="auto"/>
        <w:rPr>
          <w:rFonts w:ascii="Lato" w:eastAsiaTheme="minorHAnsi" w:hAnsi="Lato" w:cstheme="minorBidi"/>
          <w:lang w:val="fr-CA" w:eastAsia="en-US" w:bidi="ar-SA"/>
          <w14:ligatures w14:val="standardContextual"/>
        </w:rPr>
      </w:pPr>
      <w:r w:rsidRPr="002830BC">
        <w:rPr>
          <w:rFonts w:ascii="Lato" w:eastAsiaTheme="minorHAnsi" w:hAnsi="Lato" w:cstheme="minorBidi"/>
          <w:lang w:val="fr-CA" w:eastAsia="en-US" w:bidi="ar-SA"/>
          <w14:ligatures w14:val="standardContextual"/>
        </w:rPr>
        <w:t xml:space="preserve">À titre de présidente nationale d’Unifor, </w:t>
      </w:r>
      <w:r w:rsidRPr="00EF11FD">
        <w:rPr>
          <w:rFonts w:ascii="Lato" w:eastAsiaTheme="minorHAnsi" w:hAnsi="Lato" w:cstheme="minorBidi"/>
          <w:lang w:val="fr-CA" w:eastAsia="en-US" w:bidi="ar-SA"/>
          <w14:ligatures w14:val="standardContextual"/>
        </w:rPr>
        <w:t>je recommande que</w:t>
      </w:r>
      <w:r w:rsidRPr="002830BC">
        <w:rPr>
          <w:rFonts w:ascii="Lato" w:eastAsiaTheme="minorHAnsi" w:hAnsi="Lato" w:cstheme="minorBidi"/>
          <w:lang w:val="fr-CA" w:eastAsia="en-US" w:bidi="ar-SA"/>
          <w14:ligatures w14:val="standardContextual"/>
        </w:rPr>
        <w:t xml:space="preserve"> les sections locales :</w:t>
      </w:r>
    </w:p>
    <w:p w14:paraId="2C1819B9" w14:textId="43D7A7A8" w:rsidR="002830BC" w:rsidRPr="00EF11FD" w:rsidRDefault="002830BC" w:rsidP="002830BC">
      <w:pPr>
        <w:numPr>
          <w:ilvl w:val="0"/>
          <w:numId w:val="4"/>
        </w:numPr>
        <w:spacing w:after="140" w:line="276" w:lineRule="auto"/>
        <w:rPr>
          <w:rFonts w:ascii="Lato" w:hAnsi="Lato"/>
          <w:lang w:val="fr-CA"/>
        </w:rPr>
      </w:pPr>
      <w:r w:rsidRPr="00EF11FD">
        <w:rPr>
          <w:rFonts w:ascii="Lato" w:hAnsi="Lato"/>
          <w:lang w:val="fr-CA"/>
        </w:rPr>
        <w:t>réalisent</w:t>
      </w:r>
      <w:r w:rsidRPr="00EF11FD">
        <w:rPr>
          <w:rFonts w:ascii="Lato" w:hAnsi="Lato"/>
          <w:lang w:val="fr-CA"/>
        </w:rPr>
        <w:t xml:space="preserve"> une vérification de l’équité en matière d’emploi dans les conventions collectives et auprès des membres et </w:t>
      </w:r>
      <w:r w:rsidRPr="00EF11FD">
        <w:rPr>
          <w:rFonts w:ascii="Lato" w:hAnsi="Lato"/>
          <w:lang w:val="fr-CA"/>
        </w:rPr>
        <w:t>travaillent</w:t>
      </w:r>
      <w:r w:rsidRPr="00EF11FD">
        <w:rPr>
          <w:rFonts w:ascii="Lato" w:hAnsi="Lato"/>
          <w:lang w:val="fr-CA"/>
        </w:rPr>
        <w:t xml:space="preserve"> activement à recenser les disparités en </w:t>
      </w:r>
      <w:r w:rsidRPr="00EF11FD">
        <w:rPr>
          <w:rFonts w:ascii="Lato" w:hAnsi="Lato"/>
          <w:lang w:val="fr-CA"/>
        </w:rPr>
        <w:lastRenderedPageBreak/>
        <w:t>matière de protection et d’avantages pour les membres 2SLGBTQIA+ en veillant à ce que les demandes de négociation soient inclusives;</w:t>
      </w:r>
    </w:p>
    <w:p w14:paraId="7F805D8F" w14:textId="4CBC1B48" w:rsidR="002830BC" w:rsidRPr="00EF11FD" w:rsidRDefault="002830BC" w:rsidP="002830BC">
      <w:pPr>
        <w:numPr>
          <w:ilvl w:val="0"/>
          <w:numId w:val="4"/>
        </w:numPr>
        <w:spacing w:after="140" w:line="276" w:lineRule="auto"/>
        <w:rPr>
          <w:rFonts w:ascii="Lato" w:hAnsi="Lato"/>
          <w:lang w:val="fr-CA"/>
        </w:rPr>
      </w:pPr>
      <w:r w:rsidRPr="00EF11FD">
        <w:rPr>
          <w:rFonts w:ascii="Lato" w:hAnsi="Lato"/>
          <w:lang w:val="fr-CA"/>
        </w:rPr>
        <w:t>négocient</w:t>
      </w:r>
      <w:r w:rsidRPr="00EF11FD">
        <w:rPr>
          <w:rFonts w:ascii="Lato" w:hAnsi="Lato"/>
          <w:lang w:val="fr-CA"/>
        </w:rPr>
        <w:t xml:space="preserve"> des mesures de protection de l’accès aux soins de santé dans les conventions collectives et à protéger les droits aux services de santé essentiels, tout en protégeant les membres contre une éventuelle désindexation des services par le gouvernement;</w:t>
      </w:r>
    </w:p>
    <w:p w14:paraId="547FD00A" w14:textId="19F6B9EE" w:rsidR="002830BC" w:rsidRPr="00EF11FD" w:rsidRDefault="002830BC" w:rsidP="002830BC">
      <w:pPr>
        <w:numPr>
          <w:ilvl w:val="0"/>
          <w:numId w:val="4"/>
        </w:numPr>
        <w:spacing w:after="140" w:line="276" w:lineRule="auto"/>
        <w:rPr>
          <w:rFonts w:ascii="Lato" w:hAnsi="Lato"/>
          <w:lang w:val="fr-CA"/>
        </w:rPr>
      </w:pPr>
      <w:r w:rsidRPr="00EF11FD">
        <w:rPr>
          <w:rFonts w:ascii="Lato" w:hAnsi="Lato"/>
          <w:lang w:val="fr-CA"/>
        </w:rPr>
        <w:t>négocient</w:t>
      </w:r>
      <w:r w:rsidRPr="00EF11FD">
        <w:rPr>
          <w:rFonts w:ascii="Lato" w:hAnsi="Lato"/>
          <w:lang w:val="fr-CA"/>
        </w:rPr>
        <w:t xml:space="preserve"> l’intégration d’un rôle d’intervenante ou d’intervenant auprès des membres 2SLGBTQIA+ qui permettrait à la section locale d’aborder les enjeux, de promouvoir l’égalité et de créer des milieux de travail inclusifs pour les membres queers et transgenres.</w:t>
      </w:r>
    </w:p>
    <w:p w14:paraId="058BF13F" w14:textId="77777777" w:rsidR="00D64487" w:rsidRPr="00EF11FD" w:rsidRDefault="00D64487">
      <w:pPr>
        <w:pStyle w:val="Corpsdetexte"/>
        <w:rPr>
          <w:rFonts w:ascii="Lato" w:hAnsi="Lato"/>
          <w:lang w:val="fr-CA"/>
        </w:rPr>
      </w:pPr>
    </w:p>
    <w:p w14:paraId="64B2B7CE" w14:textId="77777777" w:rsidR="00D64487" w:rsidRPr="00EF11FD" w:rsidRDefault="00D64487">
      <w:pPr>
        <w:pStyle w:val="Corpsdetexte"/>
        <w:rPr>
          <w:rFonts w:ascii="Lato" w:hAnsi="Lato"/>
          <w:lang w:val="fr-CA"/>
        </w:rPr>
      </w:pPr>
    </w:p>
    <w:p w14:paraId="041E0A7F" w14:textId="4BCC92BF" w:rsidR="00D64487" w:rsidRPr="00EF11FD" w:rsidRDefault="0012721B" w:rsidP="002E6F6A">
      <w:pPr>
        <w:pStyle w:val="Titre1"/>
        <w:rPr>
          <w:rFonts w:ascii="Lato" w:hAnsi="Lato"/>
          <w:lang w:val="fr-CA"/>
        </w:rPr>
      </w:pPr>
      <w:bookmarkStart w:id="3" w:name="_Toc141959986"/>
      <w:r w:rsidRPr="00EF11FD">
        <w:rPr>
          <w:rFonts w:ascii="Lato" w:hAnsi="Lato"/>
          <w:lang w:val="fr-CA"/>
        </w:rPr>
        <w:t>Recomm</w:t>
      </w:r>
      <w:r w:rsidR="002E6F6A" w:rsidRPr="00EF11FD">
        <w:rPr>
          <w:rFonts w:ascii="Lato" w:hAnsi="Lato"/>
          <w:lang w:val="fr-CA"/>
        </w:rPr>
        <w:t>a</w:t>
      </w:r>
      <w:r w:rsidRPr="00EF11FD">
        <w:rPr>
          <w:rFonts w:ascii="Lato" w:hAnsi="Lato"/>
          <w:lang w:val="fr-CA"/>
        </w:rPr>
        <w:t xml:space="preserve">ndation 3 – </w:t>
      </w:r>
      <w:r w:rsidR="002E6F6A" w:rsidRPr="00EF11FD">
        <w:rPr>
          <w:rFonts w:ascii="Lato" w:hAnsi="Lato"/>
          <w:lang w:val="fr-CA"/>
        </w:rPr>
        <w:t>Négocier la force ouvrière</w:t>
      </w:r>
      <w:bookmarkEnd w:id="3"/>
    </w:p>
    <w:p w14:paraId="710A45AB" w14:textId="7560DAF7" w:rsidR="00324ECE" w:rsidRPr="00324ECE" w:rsidRDefault="00324ECE" w:rsidP="00324ECE">
      <w:pPr>
        <w:suppressAutoHyphens w:val="0"/>
        <w:spacing w:after="140" w:line="276" w:lineRule="auto"/>
        <w:rPr>
          <w:rFonts w:ascii="Lato" w:eastAsiaTheme="minorHAnsi" w:hAnsi="Lato" w:cstheme="minorBidi"/>
          <w:lang w:val="fr-CA" w:eastAsia="en-US" w:bidi="ar-SA"/>
          <w14:ligatures w14:val="standardContextual"/>
        </w:rPr>
      </w:pPr>
      <w:r w:rsidRPr="00EF11FD">
        <w:rPr>
          <w:rFonts w:ascii="Lato" w:eastAsiaTheme="minorHAnsi" w:hAnsi="Lato" w:cstheme="minorBidi"/>
          <w:lang w:val="fr-CA" w:eastAsia="en-US" w:bidi="ar-SA"/>
          <w14:ligatures w14:val="standardContextual"/>
        </w:rPr>
        <w:t>L’an dernier</w:t>
      </w:r>
      <w:r w:rsidRPr="00324ECE">
        <w:rPr>
          <w:rFonts w:ascii="Lato" w:eastAsiaTheme="minorHAnsi" w:hAnsi="Lato" w:cstheme="minorBidi"/>
          <w:lang w:val="fr-CA" w:eastAsia="en-US" w:bidi="ar-SA"/>
          <w14:ligatures w14:val="standardContextual"/>
        </w:rPr>
        <w:t>, Unifor a entrepris de remanier son programme national de négociation collective en s’inspirant des expériences, des luttes et des meilleures idées des dirigeantes et dirigeants des sections locales, des militantes et militants, ainsi que des membres des comités de négociation. Cette tournée stratégique régionale de plusieurs mois portait sur l’idée voulant que la négociation collective soit essentielle au renforcement du pouvoir des travailleuses et travailleurs.</w:t>
      </w:r>
    </w:p>
    <w:p w14:paraId="7FCF2FE7" w14:textId="77777777" w:rsidR="00324ECE" w:rsidRPr="00324ECE" w:rsidRDefault="00324ECE" w:rsidP="00324ECE">
      <w:pPr>
        <w:suppressAutoHyphens w:val="0"/>
        <w:spacing w:after="140" w:line="276" w:lineRule="auto"/>
        <w:rPr>
          <w:rFonts w:ascii="Lato" w:eastAsiaTheme="minorHAnsi" w:hAnsi="Lato" w:cstheme="minorBidi"/>
          <w:lang w:val="fr-CA" w:eastAsia="en-US" w:bidi="ar-SA"/>
          <w14:ligatures w14:val="standardContextual"/>
        </w:rPr>
      </w:pPr>
      <w:r w:rsidRPr="00324ECE">
        <w:rPr>
          <w:rFonts w:ascii="Lato" w:eastAsiaTheme="minorHAnsi" w:hAnsi="Lato" w:cstheme="minorBidi"/>
          <w:lang w:val="fr-CA" w:eastAsia="en-US" w:bidi="ar-SA"/>
          <w14:ligatures w14:val="standardContextual"/>
        </w:rPr>
        <w:t>Les travailleuses et travailleurs font face à des difficultés considérables dans l’économie d’aujourd’hui, où les inégalités chroniques abondent. Les biens et les services sont désormais inaccessibles et hors de portée pour un trop grand nombre de travailleuses et travailleurs et leur famille. Les salaires peinent à suffire, alors que les bénéfices des entreprises dans bon nombre de secteurs atteignent des sommets.</w:t>
      </w:r>
    </w:p>
    <w:p w14:paraId="6D75C0E7" w14:textId="77777777" w:rsidR="00324ECE" w:rsidRPr="00324ECE" w:rsidRDefault="00324ECE" w:rsidP="00324ECE">
      <w:pPr>
        <w:suppressAutoHyphens w:val="0"/>
        <w:spacing w:after="140" w:line="276" w:lineRule="auto"/>
        <w:rPr>
          <w:rFonts w:ascii="Lato" w:eastAsiaTheme="minorHAnsi" w:hAnsi="Lato" w:cstheme="minorBidi"/>
          <w:lang w:val="fr-CA" w:eastAsia="en-US" w:bidi="ar-SA"/>
          <w14:ligatures w14:val="standardContextual"/>
        </w:rPr>
      </w:pPr>
      <w:r w:rsidRPr="00324ECE">
        <w:rPr>
          <w:rFonts w:ascii="Lato" w:eastAsiaTheme="minorHAnsi" w:hAnsi="Lato" w:cstheme="minorBidi"/>
          <w:lang w:val="fr-CA" w:eastAsia="en-US" w:bidi="ar-SA"/>
          <w14:ligatures w14:val="standardContextual"/>
        </w:rPr>
        <w:t>La négociation collective demeure l’outil le plus efficace dont les travailleuses et travailleurs disposent pour s’assurer d’un emploi décent et être traités avec équité et dignité au travail. Cet exercice de transformation remet le pouvoir entre les mains des travailleuses et travailleurs. Au cours de la prochaine année, notre syndicat continuera de peaufiner ses stratégies de négociation, de faire de la sensibilisation et de renforcer les capacités des comités de négociation des sections locales, et d’œuvrer à élargir la couverture des négociations à un plus grand nombre de travailleuses et travailleurs au Canada.</w:t>
      </w:r>
    </w:p>
    <w:p w14:paraId="62B38BE7" w14:textId="77777777" w:rsidR="00A36510" w:rsidRPr="00EF11FD" w:rsidRDefault="00A36510">
      <w:pPr>
        <w:pStyle w:val="Corpsdetexte"/>
        <w:rPr>
          <w:rFonts w:ascii="Lato" w:eastAsiaTheme="minorHAnsi" w:hAnsi="Lato" w:cstheme="minorBidi"/>
          <w:lang w:val="fr-CA" w:eastAsia="en-US" w:bidi="ar-SA"/>
          <w14:ligatures w14:val="standardContextual"/>
        </w:rPr>
      </w:pPr>
      <w:r w:rsidRPr="002830BC">
        <w:rPr>
          <w:rFonts w:ascii="Lato" w:eastAsiaTheme="minorHAnsi" w:hAnsi="Lato" w:cstheme="minorBidi"/>
          <w:lang w:val="fr-CA" w:eastAsia="en-US" w:bidi="ar-SA"/>
          <w14:ligatures w14:val="standardContextual"/>
        </w:rPr>
        <w:t xml:space="preserve">À titre de présidente nationale d’Unifor, </w:t>
      </w:r>
      <w:r w:rsidRPr="00EF11FD">
        <w:rPr>
          <w:rFonts w:ascii="Lato" w:eastAsiaTheme="minorHAnsi" w:hAnsi="Lato" w:cstheme="minorBidi"/>
          <w:lang w:val="fr-CA" w:eastAsia="en-US" w:bidi="ar-SA"/>
          <w14:ligatures w14:val="standardContextual"/>
        </w:rPr>
        <w:t>je recommande que</w:t>
      </w:r>
      <w:r w:rsidRPr="00EF11FD">
        <w:rPr>
          <w:rFonts w:ascii="Lato" w:eastAsiaTheme="minorHAnsi" w:hAnsi="Lato" w:cstheme="minorBidi"/>
          <w:lang w:val="fr-CA" w:eastAsia="en-US" w:bidi="ar-SA"/>
          <w14:ligatures w14:val="standardContextual"/>
        </w:rPr>
        <w:t> :</w:t>
      </w:r>
    </w:p>
    <w:p w14:paraId="5D7A85E1" w14:textId="543730EB" w:rsidR="00B64F3D" w:rsidRPr="00B64F3D" w:rsidRDefault="00B64F3D" w:rsidP="00B64F3D">
      <w:pPr>
        <w:numPr>
          <w:ilvl w:val="0"/>
          <w:numId w:val="6"/>
        </w:numPr>
        <w:suppressAutoHyphens w:val="0"/>
        <w:spacing w:after="140" w:line="276" w:lineRule="auto"/>
        <w:rPr>
          <w:rFonts w:ascii="Lato" w:eastAsiaTheme="minorHAnsi" w:hAnsi="Lato" w:cstheme="minorBidi"/>
          <w:lang w:val="fr-CA" w:eastAsia="en-US" w:bidi="ar-SA"/>
          <w14:ligatures w14:val="standardContextual"/>
        </w:rPr>
      </w:pPr>
      <w:r w:rsidRPr="00B64F3D">
        <w:rPr>
          <w:rFonts w:ascii="Lato" w:eastAsiaTheme="minorHAnsi" w:hAnsi="Lato" w:cstheme="minorBidi"/>
          <w:lang w:val="fr-CA" w:eastAsia="en-US" w:bidi="ar-SA"/>
          <w14:ligatures w14:val="standardContextual"/>
        </w:rPr>
        <w:t>que les membres délégués d’Unifor appuient le nouveau programme national de négociation collective du syndicat, ainsi que toute modification convenue, tel qu’il a été présenté et examiné lors du tout premier sommet sur la négociation collective qui a eu lieu cette semaine à Halifax;</w:t>
      </w:r>
    </w:p>
    <w:p w14:paraId="7CB72E3D" w14:textId="3EFB167D" w:rsidR="00B64F3D" w:rsidRPr="00B64F3D" w:rsidRDefault="00B64F3D" w:rsidP="00B64F3D">
      <w:pPr>
        <w:numPr>
          <w:ilvl w:val="0"/>
          <w:numId w:val="6"/>
        </w:numPr>
        <w:suppressAutoHyphens w:val="0"/>
        <w:spacing w:after="140" w:line="276" w:lineRule="auto"/>
        <w:rPr>
          <w:rFonts w:ascii="Lato" w:eastAsiaTheme="minorHAnsi" w:hAnsi="Lato" w:cstheme="minorBidi"/>
          <w:lang w:val="fr-CA" w:eastAsia="en-US" w:bidi="ar-SA"/>
          <w14:ligatures w14:val="standardContextual"/>
        </w:rPr>
      </w:pPr>
      <w:r w:rsidRPr="00B64F3D">
        <w:rPr>
          <w:rFonts w:ascii="Lato" w:eastAsiaTheme="minorHAnsi" w:hAnsi="Lato" w:cstheme="minorBidi"/>
          <w:lang w:val="fr-CA" w:eastAsia="en-US" w:bidi="ar-SA"/>
          <w14:ligatures w14:val="standardContextual"/>
        </w:rPr>
        <w:lastRenderedPageBreak/>
        <w:t>qu’Unifor élabore des ressources supplémentaires pour aider les sections locales, les comités de négociation et les représentantes et représentants à présenter les positions décrites dans le programme, le cas échéant, et à surveiller les progrès découlant du programme;</w:t>
      </w:r>
    </w:p>
    <w:p w14:paraId="36E7EC4A" w14:textId="7827A4AD" w:rsidR="00B64F3D" w:rsidRPr="00B64F3D" w:rsidRDefault="00B64F3D" w:rsidP="00B64F3D">
      <w:pPr>
        <w:numPr>
          <w:ilvl w:val="0"/>
          <w:numId w:val="6"/>
        </w:numPr>
        <w:suppressAutoHyphens w:val="0"/>
        <w:spacing w:after="140" w:line="276" w:lineRule="auto"/>
        <w:rPr>
          <w:rFonts w:ascii="Lato" w:eastAsiaTheme="minorHAnsi" w:hAnsi="Lato" w:cstheme="minorBidi"/>
          <w:lang w:val="fr-CA" w:eastAsia="en-US" w:bidi="ar-SA"/>
          <w14:ligatures w14:val="standardContextual"/>
        </w:rPr>
      </w:pPr>
      <w:r w:rsidRPr="00B64F3D">
        <w:rPr>
          <w:rFonts w:ascii="Lato" w:eastAsiaTheme="minorHAnsi" w:hAnsi="Lato" w:cstheme="minorBidi"/>
          <w:lang w:val="fr-CA" w:eastAsia="en-US" w:bidi="ar-SA"/>
          <w14:ligatures w14:val="standardContextual"/>
        </w:rPr>
        <w:t>que les dirigeantes et dirigeants des sections locales diffusent et transmettent le programme de négociation collective aux comités de négociation et à l’ensemble des membres;</w:t>
      </w:r>
    </w:p>
    <w:p w14:paraId="7A60B2A3" w14:textId="77777777" w:rsidR="00B64F3D" w:rsidRPr="00B64F3D" w:rsidRDefault="00B64F3D" w:rsidP="00B64F3D">
      <w:pPr>
        <w:numPr>
          <w:ilvl w:val="0"/>
          <w:numId w:val="6"/>
        </w:numPr>
        <w:suppressAutoHyphens w:val="0"/>
        <w:spacing w:after="140" w:line="276" w:lineRule="auto"/>
        <w:rPr>
          <w:rFonts w:ascii="Lato" w:eastAsiaTheme="minorHAnsi" w:hAnsi="Lato" w:cstheme="minorBidi"/>
          <w:lang w:val="fr-CA" w:eastAsia="en-US" w:bidi="ar-SA"/>
          <w14:ligatures w14:val="standardContextual"/>
        </w:rPr>
      </w:pPr>
      <w:r w:rsidRPr="00B64F3D">
        <w:rPr>
          <w:rFonts w:ascii="Lato" w:eastAsiaTheme="minorHAnsi" w:hAnsi="Lato" w:cstheme="minorBidi"/>
          <w:lang w:val="fr-CA" w:eastAsia="en-US" w:bidi="ar-SA"/>
          <w14:ligatures w14:val="standardContextual"/>
        </w:rPr>
        <w:t>que le syndicat national respecte l’engagement énoncé dans le plan d’action 2022-2025 qui consiste à coordonner un groupe de travail interne chargé d’explorer le concept de négociation globale, son application et la possibilité d’élargir l’accès à la négociation collective pour les travailleuses et travailleurs des secteurs critiques de l’économie.</w:t>
      </w:r>
    </w:p>
    <w:p w14:paraId="3DC13782" w14:textId="4642D452" w:rsidR="00D64487" w:rsidRPr="00EF11FD" w:rsidRDefault="00D64487" w:rsidP="00B64F3D">
      <w:pPr>
        <w:pStyle w:val="Corpsdetexte"/>
        <w:ind w:left="360"/>
        <w:rPr>
          <w:rFonts w:ascii="Lato" w:hAnsi="Lato"/>
          <w:lang w:val="fr-CA"/>
        </w:rPr>
      </w:pPr>
    </w:p>
    <w:p w14:paraId="387B5E14" w14:textId="77777777" w:rsidR="00D64487" w:rsidRPr="00EF11FD" w:rsidRDefault="00D64487">
      <w:pPr>
        <w:pStyle w:val="Corpsdetexte"/>
        <w:rPr>
          <w:rFonts w:ascii="Lato" w:hAnsi="Lato"/>
          <w:lang w:val="fr-CA"/>
        </w:rPr>
      </w:pPr>
    </w:p>
    <w:p w14:paraId="57E150C6" w14:textId="53821CD0" w:rsidR="00D64487" w:rsidRPr="00EF11FD" w:rsidRDefault="0012721B" w:rsidP="00405E86">
      <w:pPr>
        <w:pStyle w:val="Titre1"/>
        <w:rPr>
          <w:rFonts w:ascii="Lato" w:hAnsi="Lato" w:cstheme="majorHAnsi"/>
          <w:lang w:val="fr-CA"/>
        </w:rPr>
      </w:pPr>
      <w:bookmarkStart w:id="4" w:name="_Toc141959987"/>
      <w:r w:rsidRPr="00EF11FD">
        <w:rPr>
          <w:rFonts w:ascii="Lato" w:hAnsi="Lato"/>
          <w:lang w:val="fr-CA"/>
        </w:rPr>
        <w:t>Recomm</w:t>
      </w:r>
      <w:r w:rsidR="00FD1B27" w:rsidRPr="00EF11FD">
        <w:rPr>
          <w:rFonts w:ascii="Lato" w:hAnsi="Lato"/>
          <w:lang w:val="fr-CA"/>
        </w:rPr>
        <w:t>a</w:t>
      </w:r>
      <w:r w:rsidRPr="00EF11FD">
        <w:rPr>
          <w:rFonts w:ascii="Lato" w:hAnsi="Lato"/>
          <w:lang w:val="fr-CA"/>
        </w:rPr>
        <w:t xml:space="preserve">ndation 4 </w:t>
      </w:r>
      <w:r w:rsidR="00405E86" w:rsidRPr="00EF11FD">
        <w:rPr>
          <w:rFonts w:ascii="Lato" w:hAnsi="Lato"/>
          <w:lang w:val="fr-CA"/>
        </w:rPr>
        <w:t>–</w:t>
      </w:r>
      <w:r w:rsidRPr="00EF11FD">
        <w:rPr>
          <w:rFonts w:ascii="Lato" w:hAnsi="Lato"/>
          <w:lang w:val="fr-CA"/>
        </w:rPr>
        <w:t xml:space="preserve"> </w:t>
      </w:r>
      <w:r w:rsidR="00405E86" w:rsidRPr="00EF11FD">
        <w:rPr>
          <w:rFonts w:ascii="Lato" w:hAnsi="Lato"/>
          <w:lang w:val="fr-CA"/>
        </w:rPr>
        <w:t>Recrute</w:t>
      </w:r>
      <w:r w:rsidR="00AB31FB" w:rsidRPr="00EF11FD">
        <w:rPr>
          <w:rFonts w:ascii="Lato" w:hAnsi="Lato"/>
          <w:lang w:val="fr-CA"/>
        </w:rPr>
        <w:t xml:space="preserve">r </w:t>
      </w:r>
      <w:r w:rsidR="00405E86" w:rsidRPr="00EF11FD">
        <w:rPr>
          <w:rFonts w:ascii="Lato" w:hAnsi="Lato"/>
          <w:lang w:val="fr-CA"/>
        </w:rPr>
        <w:t>de nouveaux membres</w:t>
      </w:r>
      <w:bookmarkEnd w:id="4"/>
    </w:p>
    <w:p w14:paraId="5D76E527" w14:textId="77777777" w:rsidR="000B7DEA" w:rsidRPr="00EF11FD" w:rsidRDefault="000B7DEA" w:rsidP="000B7DEA">
      <w:pPr>
        <w:spacing w:after="140" w:line="276" w:lineRule="auto"/>
        <w:rPr>
          <w:rFonts w:ascii="Lato" w:hAnsi="Lato" w:cstheme="minorHAnsi"/>
          <w:lang w:val="fr-CA"/>
        </w:rPr>
      </w:pPr>
      <w:r w:rsidRPr="00EF11FD">
        <w:rPr>
          <w:rFonts w:ascii="Lato" w:hAnsi="Lato" w:cstheme="minorHAnsi"/>
          <w:lang w:val="fr-CA"/>
        </w:rPr>
        <w:t>Les statuts d’Unifor nous rappellent que nous avons formé notre syndicat à une époque où les entreprises et les banques semblaient profiter d’un pouvoir illimité et où la majeure partie de la richesse se trouvait entre les mains d’une petite élite trop privilégiée. Le travail acharné et les bons emplois ne suffisaient plus pour joindre les deux bouts.</w:t>
      </w:r>
    </w:p>
    <w:p w14:paraId="3B0D9CA4" w14:textId="77777777" w:rsidR="000B7DEA" w:rsidRPr="00EF11FD" w:rsidRDefault="000B7DEA" w:rsidP="000B7DEA">
      <w:pPr>
        <w:spacing w:after="140" w:line="276" w:lineRule="auto"/>
        <w:rPr>
          <w:rFonts w:ascii="Lato" w:hAnsi="Lato" w:cstheme="minorHAnsi"/>
          <w:lang w:val="fr-CA"/>
        </w:rPr>
      </w:pPr>
      <w:r w:rsidRPr="00EF11FD">
        <w:rPr>
          <w:rFonts w:ascii="Lato" w:hAnsi="Lato" w:cstheme="minorHAnsi"/>
          <w:lang w:val="fr-CA"/>
        </w:rPr>
        <w:t>Dix ans plus tard, le travail acharné et les bons emplois ne suffisent toujours pas pour joindre les deux bouts. À certains égards, la situation des travailleuses et travailleurs ne s’est pas améliorée. L’inflation, alimentée par la cupidité des entreprises, affecte de manière disproportionnée les travailleuses et travailleurs canadiens et les membres des communautés en quête d’équité. Les conséquences du changement climatique se multiplient dans notre quotidien, et un plan de transition global plaçant les travailleuses et travailleurs au cœur des changements et des décisions n'a pas encore vu le jour. La situation globale des travailleuses et travailleurs n’a fait qu’empirer au cours de cette période.</w:t>
      </w:r>
    </w:p>
    <w:p w14:paraId="53C4AF49" w14:textId="77777777" w:rsidR="000B7DEA" w:rsidRPr="00EF11FD" w:rsidRDefault="000B7DEA" w:rsidP="000B7DEA">
      <w:pPr>
        <w:spacing w:after="140" w:line="276" w:lineRule="auto"/>
        <w:rPr>
          <w:rFonts w:ascii="Lato" w:hAnsi="Lato" w:cstheme="minorHAnsi"/>
          <w:lang w:val="fr-CA"/>
        </w:rPr>
      </w:pPr>
      <w:r w:rsidRPr="00EF11FD">
        <w:rPr>
          <w:rFonts w:ascii="Lato" w:eastAsia="Calibri" w:hAnsi="Lato" w:cstheme="minorHAnsi"/>
          <w:lang w:val="fr-CA"/>
        </w:rPr>
        <w:t xml:space="preserve">Pendant cette même période d’instabilité, Unifor a démontré qu’il pouvait, en recrutant de façon stratégique, faire une différence dans la vie non seulement des membres, mais aussi de l’ensemble de la population canadienne. Le recrutement stratégique ne se limite pas à l’utilisation traditionnelle du terme par le syndicat : il concerne aussi la mobilisation interne en vue d’importantes rondes de négociations ou du règlement de différends, la mobilisation en temps de crise pour défendre les droits en milieu de travail qui affectent l’ensemble des travailleuses et travailleurs, la mobilisation pour améliorer les normes sur les conditions de travail de nos membres et, bien sûr, le recrutement de nouveaux membres dans notre syndicat. </w:t>
      </w:r>
      <w:r w:rsidRPr="00EF11FD">
        <w:rPr>
          <w:rFonts w:ascii="Lato" w:hAnsi="Lato" w:cstheme="minorHAnsi"/>
          <w:lang w:val="fr-CA"/>
        </w:rPr>
        <w:t xml:space="preserve">Grâce à ces efforts, Unifor est resté fidèle à ses principes fondateurs : </w:t>
      </w:r>
      <w:r w:rsidRPr="00EF11FD">
        <w:rPr>
          <w:rFonts w:ascii="Lato" w:hAnsi="Lato" w:cstheme="minorHAnsi"/>
          <w:b/>
          <w:bCs/>
          <w:lang w:val="fr-CA"/>
        </w:rPr>
        <w:t>lorsque nous nous mobilisons, nous gagnons</w:t>
      </w:r>
      <w:r w:rsidRPr="00EF11FD">
        <w:rPr>
          <w:rFonts w:ascii="Lato" w:hAnsi="Lato" w:cstheme="minorHAnsi"/>
          <w:lang w:val="fr-CA"/>
        </w:rPr>
        <w:t>.</w:t>
      </w:r>
    </w:p>
    <w:p w14:paraId="4DFA665F" w14:textId="77777777" w:rsidR="000B7DEA" w:rsidRPr="000B7DEA" w:rsidRDefault="000B7DEA" w:rsidP="000B7DEA">
      <w:pPr>
        <w:spacing w:after="140" w:line="276" w:lineRule="auto"/>
        <w:rPr>
          <w:rFonts w:ascii="Lato" w:eastAsia="Calibri" w:hAnsi="Lato" w:cs="Calibri"/>
          <w:lang w:val="fr-CA" w:eastAsia="en-US" w:bidi="ar-SA"/>
          <w14:ligatures w14:val="standardContextual"/>
        </w:rPr>
      </w:pPr>
      <w:r w:rsidRPr="000B7DEA">
        <w:rPr>
          <w:rFonts w:ascii="Lato" w:eastAsia="Calibri" w:hAnsi="Lato" w:cs="Calibri"/>
          <w:lang w:val="fr-CA" w:eastAsia="en-US" w:bidi="ar-SA"/>
          <w14:ligatures w14:val="standardContextual"/>
        </w:rPr>
        <w:lastRenderedPageBreak/>
        <w:t>Le taux de syndicalisation est un indice certain de l’amélioration des conditions de vie de la classe moyenne d’un pays et a un lien direct avec la baisse des taux de pauvreté. Le modèle syndical s’est avéré l’un des moyens les plus efficaces de promouvoir l’égalité dans les sociétés modernes.</w:t>
      </w:r>
    </w:p>
    <w:p w14:paraId="2917CE23" w14:textId="77777777" w:rsidR="000B7DEA" w:rsidRPr="000B7DEA" w:rsidRDefault="000B7DEA" w:rsidP="000B7DEA">
      <w:pPr>
        <w:spacing w:after="140" w:line="276" w:lineRule="auto"/>
        <w:rPr>
          <w:rFonts w:ascii="Lato" w:eastAsia="Calibri" w:hAnsi="Lato" w:cs="Calibri"/>
          <w:kern w:val="0"/>
          <w:lang w:val="fr-CA" w:eastAsia="en-US" w:bidi="ar-SA"/>
          <w14:ligatures w14:val="standardContextual"/>
        </w:rPr>
      </w:pPr>
      <w:r w:rsidRPr="000B7DEA">
        <w:rPr>
          <w:rFonts w:ascii="Lato" w:eastAsia="Calibri" w:hAnsi="Lato" w:cs="Calibri"/>
          <w:kern w:val="0"/>
          <w:lang w:val="fr-CA" w:eastAsia="en-US" w:bidi="ar-SA"/>
          <w14:ligatures w14:val="standardContextual"/>
        </w:rPr>
        <w:t>Le recrutement de nouveaux membres doit être une priorité absolue, une fonction essentielle de nos activités quotidiennes, à tous les échelons de notre syndicat. Ensemble, nous devons promouvoir le recrutement dans l’ensemble du syndicat. Il doit faire partie de l’ensemble de nos conférences, réunions et programmes de formation. Les dirigeantes et dirigeants nationaux et des sections locales, les membres du personnel ainsi que les militantes et militants doivent comprendre qu’une campagne de recrutement réussie est essentielle pour notre avenir.</w:t>
      </w:r>
    </w:p>
    <w:p w14:paraId="7F2C708F" w14:textId="785F0D8A" w:rsidR="00D64487" w:rsidRPr="00EF11FD" w:rsidRDefault="00040F28">
      <w:pPr>
        <w:pStyle w:val="Corpsdetexte"/>
        <w:rPr>
          <w:rFonts w:ascii="Lato" w:hAnsi="Lato" w:cstheme="majorHAnsi"/>
          <w:kern w:val="0"/>
          <w:lang w:val="fr-CA"/>
        </w:rPr>
      </w:pPr>
      <w:r w:rsidRPr="002830BC">
        <w:rPr>
          <w:rFonts w:ascii="Lato" w:eastAsiaTheme="minorHAnsi" w:hAnsi="Lato" w:cstheme="minorBidi"/>
          <w:lang w:val="fr-CA" w:eastAsia="en-US" w:bidi="ar-SA"/>
          <w14:ligatures w14:val="standardContextual"/>
        </w:rPr>
        <w:t xml:space="preserve">À titre de présidente nationale d’Unifor, </w:t>
      </w:r>
      <w:r w:rsidRPr="00EF11FD">
        <w:rPr>
          <w:rFonts w:ascii="Lato" w:eastAsiaTheme="minorHAnsi" w:hAnsi="Lato" w:cstheme="minorBidi"/>
          <w:lang w:val="fr-CA" w:eastAsia="en-US" w:bidi="ar-SA"/>
          <w14:ligatures w14:val="standardContextual"/>
        </w:rPr>
        <w:t>je recommande qu</w:t>
      </w:r>
      <w:r w:rsidRPr="00EF11FD">
        <w:rPr>
          <w:rFonts w:ascii="Lato" w:eastAsiaTheme="minorHAnsi" w:hAnsi="Lato" w:cstheme="minorBidi"/>
          <w:lang w:val="fr-CA" w:eastAsia="en-US" w:bidi="ar-SA"/>
          <w14:ligatures w14:val="standardContextual"/>
        </w:rPr>
        <w:t>’Unifor :</w:t>
      </w:r>
      <w:r w:rsidR="0012721B" w:rsidRPr="00EF11FD">
        <w:rPr>
          <w:rFonts w:ascii="Lato" w:hAnsi="Lato"/>
          <w:lang w:val="fr-CA"/>
        </w:rPr>
        <w:t xml:space="preserve"> </w:t>
      </w:r>
    </w:p>
    <w:p w14:paraId="1F4BF977" w14:textId="5B5F07C1" w:rsidR="004337F5" w:rsidRPr="004337F5" w:rsidRDefault="004337F5" w:rsidP="004337F5">
      <w:pPr>
        <w:numPr>
          <w:ilvl w:val="0"/>
          <w:numId w:val="7"/>
        </w:numPr>
        <w:spacing w:after="140" w:line="276" w:lineRule="auto"/>
        <w:rPr>
          <w:rFonts w:ascii="Lato" w:eastAsia="Calibri" w:hAnsi="Lato" w:cs="Calibri"/>
          <w:lang w:val="fr-CA" w:eastAsia="en-US" w:bidi="ar-SA"/>
          <w14:ligatures w14:val="standardContextual"/>
        </w:rPr>
      </w:pPr>
      <w:r w:rsidRPr="004337F5">
        <w:rPr>
          <w:rFonts w:ascii="Lato" w:eastAsia="Calibri" w:hAnsi="Lato" w:cs="Calibri"/>
          <w:lang w:val="fr-CA" w:eastAsia="en-US" w:bidi="ar-SA"/>
          <w14:ligatures w14:val="standardContextual"/>
        </w:rPr>
        <w:t>réitère son engagement à l’égard des objectifs de recrutement définis lors de notre congrès fondateur en 2013 en faisant du recrutement de nouveaux membres une priorité absolue;</w:t>
      </w:r>
    </w:p>
    <w:p w14:paraId="40AE031A" w14:textId="77777777" w:rsidR="004337F5" w:rsidRPr="004337F5" w:rsidRDefault="004337F5" w:rsidP="004337F5">
      <w:pPr>
        <w:numPr>
          <w:ilvl w:val="0"/>
          <w:numId w:val="7"/>
        </w:numPr>
        <w:spacing w:after="140" w:line="276" w:lineRule="auto"/>
        <w:rPr>
          <w:rFonts w:ascii="Lato" w:eastAsia="Calibri" w:hAnsi="Lato" w:cs="Calibri"/>
          <w:lang w:val="fr-CA" w:eastAsia="en-US" w:bidi="ar-SA"/>
          <w14:ligatures w14:val="standardContextual"/>
        </w:rPr>
      </w:pPr>
      <w:r w:rsidRPr="004337F5">
        <w:rPr>
          <w:rFonts w:ascii="Lato" w:eastAsia="Calibri" w:hAnsi="Lato" w:cs="Calibri"/>
          <w:lang w:val="fr-CA" w:eastAsia="en-US" w:bidi="ar-SA"/>
          <w14:ligatures w14:val="standardContextual"/>
        </w:rPr>
        <w:t>utilise les ressources octroyées par les statuts à la caisse du recrutement pour renforcer et élargir nos efforts de recrutement par le biais du Service national de recrutement et consacrer des ressources à l’élaboration de modèles nouveaux et uniques tout en travaillant avec les sections locales pour obtenir des résultats positifs;</w:t>
      </w:r>
    </w:p>
    <w:p w14:paraId="6998291D" w14:textId="77777777" w:rsidR="004337F5" w:rsidRPr="004337F5" w:rsidRDefault="004337F5" w:rsidP="004337F5">
      <w:pPr>
        <w:numPr>
          <w:ilvl w:val="0"/>
          <w:numId w:val="7"/>
        </w:numPr>
        <w:spacing w:after="140" w:line="276" w:lineRule="auto"/>
        <w:rPr>
          <w:rFonts w:ascii="Lato" w:eastAsia="Calibri" w:hAnsi="Lato" w:cs="Calibri"/>
          <w:lang w:val="fr-CA" w:eastAsia="en-US" w:bidi="ar-SA"/>
          <w14:ligatures w14:val="standardContextual"/>
        </w:rPr>
      </w:pPr>
      <w:r w:rsidRPr="004337F5">
        <w:rPr>
          <w:rFonts w:ascii="Lato" w:eastAsia="Calibri" w:hAnsi="Lato" w:cs="Calibri"/>
          <w:lang w:val="fr-CA" w:eastAsia="en-US" w:bidi="ar-SA"/>
          <w14:ligatures w14:val="standardContextual"/>
        </w:rPr>
        <w:t>utilise des stratégies et des outils novateurs pour favoriser le recrutement en milieu de travail et en ligne. En modernisant nos tactiques et en élargissant notre portée, nous deviendrons une force de recrutement dynamique qui sera le choix évident des travailleuses et travailleurs canadiens;</w:t>
      </w:r>
    </w:p>
    <w:p w14:paraId="55D3B4E8" w14:textId="77777777" w:rsidR="004337F5" w:rsidRPr="004337F5" w:rsidRDefault="004337F5" w:rsidP="004337F5">
      <w:pPr>
        <w:numPr>
          <w:ilvl w:val="0"/>
          <w:numId w:val="7"/>
        </w:numPr>
        <w:spacing w:after="140" w:line="276" w:lineRule="auto"/>
        <w:rPr>
          <w:rFonts w:ascii="Lato" w:eastAsia="Calibri" w:hAnsi="Lato" w:cs="Calibri"/>
          <w:lang w:val="fr-CA" w:eastAsia="en-US" w:bidi="ar-SA"/>
          <w14:ligatures w14:val="standardContextual"/>
        </w:rPr>
      </w:pPr>
      <w:r w:rsidRPr="004337F5">
        <w:rPr>
          <w:rFonts w:ascii="Lato" w:eastAsia="Calibri" w:hAnsi="Lato" w:cs="Calibri"/>
          <w:lang w:val="fr-CA" w:eastAsia="en-US" w:bidi="ar-SA"/>
          <w14:ligatures w14:val="standardContextual"/>
        </w:rPr>
        <w:t>lancer un processus interne qui mobilise les dirigeantes et dirigeants du syndicat, le Conseil exécutif national, les représentantes et représentants ainsi que les sections locales afin de formuler des recommandations pour propulser notre syndicat dans les 10 prochaines années de recrutement et de renforcement du pouvoir des travailleuses et travailleurs.</w:t>
      </w:r>
    </w:p>
    <w:p w14:paraId="1F08CB28" w14:textId="6247EFD1" w:rsidR="00D64487" w:rsidRPr="00A42168" w:rsidRDefault="00D64487" w:rsidP="004337F5">
      <w:pPr>
        <w:pStyle w:val="Corpsdetexte"/>
        <w:ind w:left="360"/>
        <w:rPr>
          <w:rFonts w:ascii="Lato" w:hAnsi="Lato" w:cstheme="majorHAnsi"/>
          <w:lang w:val="fr-CA"/>
        </w:rPr>
      </w:pPr>
    </w:p>
    <w:sectPr w:rsidR="00D64487" w:rsidRPr="00A42168">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3A1C" w14:textId="77777777" w:rsidR="00EF11FD" w:rsidRDefault="00EF11FD" w:rsidP="00EF11FD">
      <w:r>
        <w:separator/>
      </w:r>
    </w:p>
  </w:endnote>
  <w:endnote w:type="continuationSeparator" w:id="0">
    <w:p w14:paraId="2F251706" w14:textId="77777777" w:rsidR="00EF11FD" w:rsidRDefault="00EF11FD" w:rsidP="00EF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94EE" w14:textId="77777777" w:rsidR="00EF11FD" w:rsidRDefault="00EF11FD" w:rsidP="00EF11FD">
      <w:r>
        <w:separator/>
      </w:r>
    </w:p>
  </w:footnote>
  <w:footnote w:type="continuationSeparator" w:id="0">
    <w:p w14:paraId="76FC239A" w14:textId="77777777" w:rsidR="00EF11FD" w:rsidRDefault="00EF11FD" w:rsidP="00EF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50E"/>
    <w:multiLevelType w:val="hybridMultilevel"/>
    <w:tmpl w:val="3A54F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AD16C0"/>
    <w:multiLevelType w:val="hybridMultilevel"/>
    <w:tmpl w:val="0E201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8732639"/>
    <w:multiLevelType w:val="multilevel"/>
    <w:tmpl w:val="00FC0760"/>
    <w:lvl w:ilvl="0">
      <w:start w:val="1"/>
      <w:numFmt w:val="bullet"/>
      <w:pStyle w:val="Paragraphedelist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A05191"/>
    <w:multiLevelType w:val="multilevel"/>
    <w:tmpl w:val="F90E33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DF64415"/>
    <w:multiLevelType w:val="multilevel"/>
    <w:tmpl w:val="1E726FBE"/>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63A5FCF"/>
    <w:multiLevelType w:val="multilevel"/>
    <w:tmpl w:val="A7B2E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AE640E7"/>
    <w:multiLevelType w:val="multilevel"/>
    <w:tmpl w:val="306E4D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0599619">
    <w:abstractNumId w:val="4"/>
  </w:num>
  <w:num w:numId="2" w16cid:durableId="759568140">
    <w:abstractNumId w:val="2"/>
  </w:num>
  <w:num w:numId="3" w16cid:durableId="968781824">
    <w:abstractNumId w:val="3"/>
  </w:num>
  <w:num w:numId="4" w16cid:durableId="2137094908">
    <w:abstractNumId w:val="5"/>
  </w:num>
  <w:num w:numId="5" w16cid:durableId="1825316077">
    <w:abstractNumId w:val="6"/>
  </w:num>
  <w:num w:numId="6" w16cid:durableId="1572884407">
    <w:abstractNumId w:val="0"/>
  </w:num>
  <w:num w:numId="7" w16cid:durableId="1919754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87"/>
    <w:rsid w:val="00004808"/>
    <w:rsid w:val="00040F28"/>
    <w:rsid w:val="00087758"/>
    <w:rsid w:val="000B7DEA"/>
    <w:rsid w:val="00117309"/>
    <w:rsid w:val="0012721B"/>
    <w:rsid w:val="001B419B"/>
    <w:rsid w:val="001C476E"/>
    <w:rsid w:val="00202924"/>
    <w:rsid w:val="00206950"/>
    <w:rsid w:val="00236618"/>
    <w:rsid w:val="002830BC"/>
    <w:rsid w:val="002906B4"/>
    <w:rsid w:val="002E6F6A"/>
    <w:rsid w:val="002F0EA0"/>
    <w:rsid w:val="00324ECE"/>
    <w:rsid w:val="00343CB4"/>
    <w:rsid w:val="003A2158"/>
    <w:rsid w:val="003B42CA"/>
    <w:rsid w:val="00400F0B"/>
    <w:rsid w:val="00404131"/>
    <w:rsid w:val="00405313"/>
    <w:rsid w:val="00405E86"/>
    <w:rsid w:val="00431B08"/>
    <w:rsid w:val="004337F5"/>
    <w:rsid w:val="0045492F"/>
    <w:rsid w:val="004567FE"/>
    <w:rsid w:val="00467114"/>
    <w:rsid w:val="004C7A6E"/>
    <w:rsid w:val="004F4F17"/>
    <w:rsid w:val="005A63D6"/>
    <w:rsid w:val="005B4FC6"/>
    <w:rsid w:val="005E6161"/>
    <w:rsid w:val="0066035C"/>
    <w:rsid w:val="006A4C3C"/>
    <w:rsid w:val="006E2376"/>
    <w:rsid w:val="00700DF9"/>
    <w:rsid w:val="007374F7"/>
    <w:rsid w:val="00744EDE"/>
    <w:rsid w:val="007D69A4"/>
    <w:rsid w:val="007D6D4C"/>
    <w:rsid w:val="00851238"/>
    <w:rsid w:val="00943EFD"/>
    <w:rsid w:val="00972AE5"/>
    <w:rsid w:val="00A34122"/>
    <w:rsid w:val="00A36510"/>
    <w:rsid w:val="00A42168"/>
    <w:rsid w:val="00A64642"/>
    <w:rsid w:val="00AA2187"/>
    <w:rsid w:val="00AB31FB"/>
    <w:rsid w:val="00B62C31"/>
    <w:rsid w:val="00B63885"/>
    <w:rsid w:val="00B64F3D"/>
    <w:rsid w:val="00C03173"/>
    <w:rsid w:val="00C0688B"/>
    <w:rsid w:val="00C55D2C"/>
    <w:rsid w:val="00C7104D"/>
    <w:rsid w:val="00C80477"/>
    <w:rsid w:val="00CE04DC"/>
    <w:rsid w:val="00D64487"/>
    <w:rsid w:val="00E07910"/>
    <w:rsid w:val="00E45A9E"/>
    <w:rsid w:val="00E743CA"/>
    <w:rsid w:val="00E7783F"/>
    <w:rsid w:val="00EA4FDF"/>
    <w:rsid w:val="00EF11FD"/>
    <w:rsid w:val="00F41AF5"/>
    <w:rsid w:val="00F61C96"/>
    <w:rsid w:val="00FD1B27"/>
    <w:rsid w:val="00FF63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02AF"/>
  <w15:docId w15:val="{EA54729F-FFF4-473E-97F0-9E990E8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Droid Sans Devanagari"/>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Corpsdetexte"/>
    <w:uiPriority w:val="9"/>
    <w:qFormat/>
    <w:pPr>
      <w:numPr>
        <w:numId w:val="1"/>
      </w:numPr>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Pr>
      <w:rFonts w:ascii="OpenSymbol" w:eastAsia="OpenSymbol" w:hAnsi="OpenSymbol" w:cs="OpenSymbol"/>
    </w:rPr>
  </w:style>
  <w:style w:type="character" w:styleId="Lienhypertexte">
    <w:name w:val="Hyperlink"/>
    <w:uiPriority w:val="99"/>
    <w:rPr>
      <w:color w:val="000080"/>
      <w:u w:val="single"/>
    </w:rPr>
  </w:style>
  <w:style w:type="character" w:customStyle="1" w:styleId="IndexLink">
    <w:name w:val="Index Link"/>
    <w:qFormat/>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link w:val="CorpsdetexteCar"/>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numPr>
        <w:numId w:val="2"/>
      </w:numPr>
      <w:spacing w:before="240"/>
    </w:pPr>
    <w:rPr>
      <w:rFonts w:cs="Arial"/>
      <w:lang w:val="en-US"/>
      <w14:ligatures w14:val="standardContextual"/>
    </w:rPr>
  </w:style>
  <w:style w:type="paragraph" w:styleId="Titre">
    <w:name w:val="Title"/>
    <w:basedOn w:val="Heading"/>
    <w:next w:val="Corpsdetexte"/>
    <w:uiPriority w:val="10"/>
    <w:qFormat/>
    <w:pPr>
      <w:jc w:val="center"/>
    </w:pPr>
    <w:rPr>
      <w:b/>
      <w:bCs/>
      <w:sz w:val="56"/>
      <w:szCs w:val="56"/>
    </w:rPr>
  </w:style>
  <w:style w:type="paragraph" w:styleId="Sous-titre">
    <w:name w:val="Subtitle"/>
    <w:basedOn w:val="Heading"/>
    <w:next w:val="Corpsdetexte"/>
    <w:uiPriority w:val="11"/>
    <w:qFormat/>
    <w:pPr>
      <w:spacing w:before="60"/>
      <w:jc w:val="center"/>
    </w:pPr>
    <w:rPr>
      <w:sz w:val="36"/>
      <w:szCs w:val="36"/>
    </w:rPr>
  </w:style>
  <w:style w:type="paragraph" w:styleId="Titreindex">
    <w:name w:val="index heading"/>
    <w:basedOn w:val="Heading"/>
    <w:pPr>
      <w:suppressLineNumbers/>
    </w:pPr>
    <w:rPr>
      <w:b/>
      <w:bCs/>
      <w:sz w:val="32"/>
      <w:szCs w:val="32"/>
    </w:rPr>
  </w:style>
  <w:style w:type="paragraph" w:styleId="En-ttedetabledesmatires">
    <w:name w:val="TOC Heading"/>
    <w:basedOn w:val="Titreindex"/>
  </w:style>
  <w:style w:type="paragraph" w:styleId="TM1">
    <w:name w:val="toc 1"/>
    <w:basedOn w:val="Index"/>
    <w:uiPriority w:val="39"/>
    <w:pPr>
      <w:tabs>
        <w:tab w:val="right" w:leader="dot" w:pos="9972"/>
      </w:tabs>
    </w:pPr>
  </w:style>
  <w:style w:type="character" w:customStyle="1" w:styleId="CorpsdetexteCar">
    <w:name w:val="Corps de texte Car"/>
    <w:basedOn w:val="Policepardfaut"/>
    <w:link w:val="Corpsdetexte"/>
    <w:rsid w:val="00CE04DC"/>
  </w:style>
  <w:style w:type="paragraph" w:styleId="En-tte">
    <w:name w:val="header"/>
    <w:basedOn w:val="Normal"/>
    <w:link w:val="En-tteCar"/>
    <w:uiPriority w:val="99"/>
    <w:unhideWhenUsed/>
    <w:rsid w:val="00EF11FD"/>
    <w:pPr>
      <w:tabs>
        <w:tab w:val="center" w:pos="4320"/>
        <w:tab w:val="right" w:pos="8640"/>
      </w:tabs>
    </w:pPr>
    <w:rPr>
      <w:rFonts w:cs="Mangal"/>
      <w:szCs w:val="21"/>
    </w:rPr>
  </w:style>
  <w:style w:type="character" w:customStyle="1" w:styleId="En-tteCar">
    <w:name w:val="En-tête Car"/>
    <w:basedOn w:val="Policepardfaut"/>
    <w:link w:val="En-tte"/>
    <w:uiPriority w:val="99"/>
    <w:rsid w:val="00EF11FD"/>
    <w:rPr>
      <w:rFonts w:cs="Mangal"/>
      <w:szCs w:val="21"/>
    </w:rPr>
  </w:style>
  <w:style w:type="paragraph" w:styleId="Pieddepage">
    <w:name w:val="footer"/>
    <w:basedOn w:val="Normal"/>
    <w:link w:val="PieddepageCar"/>
    <w:uiPriority w:val="99"/>
    <w:unhideWhenUsed/>
    <w:rsid w:val="00EF11FD"/>
    <w:pPr>
      <w:tabs>
        <w:tab w:val="center" w:pos="4320"/>
        <w:tab w:val="right" w:pos="8640"/>
      </w:tabs>
    </w:pPr>
    <w:rPr>
      <w:rFonts w:cs="Mangal"/>
      <w:szCs w:val="21"/>
    </w:rPr>
  </w:style>
  <w:style w:type="character" w:customStyle="1" w:styleId="PieddepageCar">
    <w:name w:val="Pied de page Car"/>
    <w:basedOn w:val="Policepardfaut"/>
    <w:link w:val="Pieddepage"/>
    <w:uiPriority w:val="99"/>
    <w:rsid w:val="00EF11F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13316</Characters>
  <Application>Microsoft Office Word</Application>
  <DocSecurity>0</DocSecurity>
  <Lines>283</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Goudreault</cp:lastModifiedBy>
  <cp:revision>2</cp:revision>
  <dcterms:created xsi:type="dcterms:W3CDTF">2023-08-03T17:00:00Z</dcterms:created>
  <dcterms:modified xsi:type="dcterms:W3CDTF">2023-08-03T17:00:00Z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2023-08-02T19:37:12Z</dcterms:created>
  <dc:creator/>
  <dc:description/>
  <dc:language>en-CA</dc:language>
  <cp:lastModifiedBy/>
  <dcterms:modified xsi:type="dcterms:W3CDTF">2023-08-02T20:18:04Z</dcterms:modified>
  <cp:revision>3</cp:revision>
  <dc:subject/>
  <dc:title/>
</cp:coreProperties>
</file>