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761ED" w14:textId="26B5F640" w:rsidR="002D103C" w:rsidRPr="00C43868" w:rsidRDefault="002D103C" w:rsidP="00174F5D">
      <w:pPr>
        <w:pStyle w:val="Heading2"/>
        <w:rPr>
          <w:rFonts w:cs="Arial"/>
          <w:color w:val="000000"/>
          <w:sz w:val="24"/>
          <w:szCs w:val="24"/>
          <w:lang w:val="fr-CA"/>
        </w:rPr>
      </w:pPr>
      <w:bookmarkStart w:id="0" w:name="_GoBack"/>
      <w:bookmarkEnd w:id="0"/>
    </w:p>
    <w:p w14:paraId="7C679E99" w14:textId="52CF1B7F" w:rsidR="005D66BD" w:rsidRPr="00C43868" w:rsidRDefault="00E0694B" w:rsidP="005D66BD">
      <w:pPr>
        <w:jc w:val="center"/>
        <w:rPr>
          <w:sz w:val="44"/>
          <w:lang w:val="fr-CA"/>
        </w:rPr>
      </w:pPr>
      <w:bookmarkStart w:id="1" w:name="_Toc505178487"/>
      <w:r w:rsidRPr="00C43868">
        <w:rPr>
          <w:noProof/>
          <w:lang w:eastAsia="en-CA"/>
        </w:rPr>
        <mc:AlternateContent>
          <mc:Choice Requires="wps">
            <w:drawing>
              <wp:anchor distT="0" distB="0" distL="114300" distR="114300" simplePos="0" relativeHeight="251659264" behindDoc="0" locked="0" layoutInCell="1" allowOverlap="1" wp14:anchorId="436BE5BF" wp14:editId="7E4142D3">
                <wp:simplePos x="0" y="0"/>
                <wp:positionH relativeFrom="column">
                  <wp:posOffset>2621280</wp:posOffset>
                </wp:positionH>
                <wp:positionV relativeFrom="paragraph">
                  <wp:posOffset>6350</wp:posOffset>
                </wp:positionV>
                <wp:extent cx="3885565" cy="3905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85565" cy="390525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15E30F" w14:textId="386AFEAD" w:rsidR="002D103C" w:rsidRPr="0054162B" w:rsidRDefault="00830034" w:rsidP="002D103C">
                            <w:pPr>
                              <w:pStyle w:val="BodyText"/>
                              <w:rPr>
                                <w:rFonts w:ascii="Calibri" w:eastAsia="Times New Roman" w:hAnsi="Calibri" w:cs="Calibri"/>
                                <w:sz w:val="56"/>
                                <w:szCs w:val="36"/>
                                <w:lang w:val="fr-CA" w:eastAsia="en-CA"/>
                              </w:rPr>
                            </w:pPr>
                            <w:r>
                              <w:rPr>
                                <w:rFonts w:ascii="Calibri" w:eastAsia="Times New Roman" w:hAnsi="Calibri" w:cs="Calibri"/>
                                <w:sz w:val="56"/>
                                <w:szCs w:val="36"/>
                                <w:lang w:val="fr-CA" w:eastAsia="fr-CA"/>
                              </w:rPr>
                              <w:t>Une politique industrielle au service d’une économie florissante et d’une prospérité partagée</w:t>
                            </w:r>
                          </w:p>
                          <w:p w14:paraId="02B48547" w14:textId="77777777" w:rsidR="002D103C" w:rsidRPr="0054162B" w:rsidRDefault="002D103C" w:rsidP="002D103C">
                            <w:pPr>
                              <w:pStyle w:val="BodyText"/>
                              <w:rPr>
                                <w:sz w:val="36"/>
                                <w:szCs w:val="36"/>
                                <w:lang w:val="fr-CA"/>
                              </w:rPr>
                            </w:pPr>
                          </w:p>
                          <w:p w14:paraId="6269AB90" w14:textId="77777777" w:rsidR="002D103C" w:rsidRPr="0054162B" w:rsidRDefault="002D103C" w:rsidP="002D103C">
                            <w:pPr>
                              <w:rPr>
                                <w:rFonts w:ascii="Calibri" w:eastAsia="Times New Roman" w:hAnsi="Calibri" w:cs="Calibri"/>
                                <w:sz w:val="23"/>
                                <w:szCs w:val="23"/>
                                <w:lang w:val="fr-CA" w:eastAsia="en-CA"/>
                              </w:rPr>
                            </w:pPr>
                          </w:p>
                          <w:p w14:paraId="0AE7AB0E" w14:textId="77777777" w:rsidR="002D103C" w:rsidRPr="0054162B" w:rsidRDefault="002D103C" w:rsidP="002D103C">
                            <w:pPr>
                              <w:pStyle w:val="BodyCopy"/>
                              <w:spacing w:after="0" w:line="240" w:lineRule="auto"/>
                              <w:rPr>
                                <w:b/>
                                <w:color w:val="FF0000"/>
                                <w:sz w:val="36"/>
                                <w:szCs w:val="32"/>
                                <w:lang w:val="fr-CA"/>
                              </w:rPr>
                            </w:pPr>
                            <w:r w:rsidRPr="0054162B">
                              <w:rPr>
                                <w:rFonts w:asciiTheme="majorHAnsi" w:hAnsiTheme="majorHAnsi"/>
                                <w:sz w:val="32"/>
                                <w:szCs w:val="32"/>
                                <w:lang w:val="fr-CA"/>
                              </w:rPr>
                              <w:br/>
                            </w:r>
                            <w:r w:rsidRPr="0054162B">
                              <w:rPr>
                                <w:b/>
                                <w:color w:val="FF0000"/>
                                <w:sz w:val="32"/>
                                <w:szCs w:val="32"/>
                                <w:lang w:val="fr-CA"/>
                              </w:rPr>
                              <w:br/>
                            </w:r>
                            <w:r w:rsidRPr="0054162B">
                              <w:rPr>
                                <w:b/>
                                <w:sz w:val="32"/>
                                <w:szCs w:val="32"/>
                                <w:lang w:val="fr-CA"/>
                              </w:rPr>
                              <w:br/>
                            </w:r>
                          </w:p>
                          <w:p w14:paraId="7499E63D" w14:textId="77777777" w:rsidR="002D103C" w:rsidRPr="0054162B" w:rsidRDefault="002D103C" w:rsidP="002D103C">
                            <w:pPr>
                              <w:pStyle w:val="BodyCopy"/>
                              <w:spacing w:after="0" w:line="240" w:lineRule="auto"/>
                              <w:rPr>
                                <w:b/>
                                <w:color w:val="FF0000"/>
                                <w:sz w:val="36"/>
                                <w:szCs w:val="32"/>
                                <w:lang w:val="fr-CA"/>
                              </w:rPr>
                            </w:pPr>
                          </w:p>
                          <w:p w14:paraId="4F22AE2A" w14:textId="77777777" w:rsidR="002D103C" w:rsidRPr="0054162B" w:rsidRDefault="002D103C" w:rsidP="002D103C">
                            <w:pPr>
                              <w:pStyle w:val="BodyCopy"/>
                              <w:spacing w:after="0" w:line="240" w:lineRule="auto"/>
                              <w:rPr>
                                <w:b/>
                                <w:color w:val="FF0000"/>
                                <w:sz w:val="36"/>
                                <w:szCs w:val="32"/>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BE5BF" id="_x0000_t202" coordsize="21600,21600" o:spt="202" path="m,l,21600r21600,l21600,xe">
                <v:stroke joinstyle="miter"/>
                <v:path gradientshapeok="t" o:connecttype="rect"/>
              </v:shapetype>
              <v:shape id="Text Box 6" o:spid="_x0000_s1026" type="#_x0000_t202" style="position:absolute;left:0;text-align:left;margin-left:206.4pt;margin-top:.5pt;width:305.9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" filled="f" stroked="f">
                <v:textbox>
                  <w:txbxContent>
                    <w:p w14:paraId="2015E30F" w14:textId="386AFEAD" w:rsidR="002D103C" w:rsidRPr="0054162B" w:rsidRDefault="00830034" w:rsidP="002D103C">
                      <w:pPr>
                        <w:pStyle w:val="BodyText"/>
                        <w:rPr>
                          <w:rFonts w:ascii="Calibri" w:eastAsia="Times New Roman" w:hAnsi="Calibri" w:cs="Calibri"/>
                          <w:sz w:val="56"/>
                          <w:szCs w:val="36"/>
                          <w:lang w:val="fr-CA" w:eastAsia="en-CA"/>
                        </w:rPr>
                      </w:pPr>
                      <w:r>
                        <w:rPr>
                          <w:rFonts w:ascii="Calibri" w:eastAsia="Times New Roman" w:hAnsi="Calibri" w:cs="Calibri"/>
                          <w:sz w:val="56"/>
                          <w:szCs w:val="36"/>
                          <w:lang w:val="fr-CA" w:eastAsia="fr-CA"/>
                        </w:rPr>
                        <w:t>Une politique industrielle au service d’une économie florissante et d’une prospérité partagée</w:t>
                      </w:r>
                    </w:p>
                    <w:p w14:paraId="02B48547" w14:textId="77777777" w:rsidR="002D103C" w:rsidRPr="0054162B" w:rsidRDefault="002D103C" w:rsidP="002D103C">
                      <w:pPr>
                        <w:pStyle w:val="BodyText"/>
                        <w:rPr>
                          <w:sz w:val="36"/>
                          <w:szCs w:val="36"/>
                          <w:lang w:val="fr-CA"/>
                        </w:rPr>
                      </w:pPr>
                    </w:p>
                    <w:p w14:paraId="6269AB90" w14:textId="77777777" w:rsidR="002D103C" w:rsidRPr="0054162B" w:rsidRDefault="002D103C" w:rsidP="002D103C">
                      <w:pPr>
                        <w:rPr>
                          <w:rFonts w:ascii="Calibri" w:eastAsia="Times New Roman" w:hAnsi="Calibri" w:cs="Calibri"/>
                          <w:sz w:val="23"/>
                          <w:szCs w:val="23"/>
                          <w:lang w:val="fr-CA" w:eastAsia="en-CA"/>
                        </w:rPr>
                      </w:pPr>
                    </w:p>
                    <w:p w14:paraId="0AE7AB0E" w14:textId="77777777" w:rsidR="002D103C" w:rsidRPr="0054162B" w:rsidRDefault="002D103C" w:rsidP="002D103C">
                      <w:pPr>
                        <w:pStyle w:val="BodyCopy"/>
                        <w:spacing w:after="0" w:line="240" w:lineRule="auto"/>
                        <w:rPr>
                          <w:b/>
                          <w:color w:val="FF0000"/>
                          <w:sz w:val="36"/>
                          <w:szCs w:val="32"/>
                          <w:lang w:val="fr-CA"/>
                        </w:rPr>
                      </w:pPr>
                      <w:r w:rsidRPr="0054162B">
                        <w:rPr>
                          <w:rFonts w:asciiTheme="majorHAnsi" w:hAnsiTheme="majorHAnsi"/>
                          <w:sz w:val="32"/>
                          <w:szCs w:val="32"/>
                          <w:lang w:val="fr-CA"/>
                        </w:rPr>
                        <w:br/>
                      </w:r>
                      <w:r w:rsidRPr="0054162B">
                        <w:rPr>
                          <w:b/>
                          <w:color w:val="FF0000"/>
                          <w:sz w:val="32"/>
                          <w:szCs w:val="32"/>
                          <w:lang w:val="fr-CA"/>
                        </w:rPr>
                        <w:br/>
                      </w:r>
                      <w:r w:rsidRPr="0054162B">
                        <w:rPr>
                          <w:b/>
                          <w:sz w:val="32"/>
                          <w:szCs w:val="32"/>
                          <w:lang w:val="fr-CA"/>
                        </w:rPr>
                        <w:br/>
                      </w:r>
                    </w:p>
                    <w:p w14:paraId="7499E63D" w14:textId="77777777" w:rsidR="002D103C" w:rsidRPr="0054162B" w:rsidRDefault="002D103C" w:rsidP="002D103C">
                      <w:pPr>
                        <w:pStyle w:val="BodyCopy"/>
                        <w:spacing w:after="0" w:line="240" w:lineRule="auto"/>
                        <w:rPr>
                          <w:b/>
                          <w:color w:val="FF0000"/>
                          <w:sz w:val="36"/>
                          <w:szCs w:val="32"/>
                          <w:lang w:val="fr-CA"/>
                        </w:rPr>
                      </w:pPr>
                    </w:p>
                    <w:p w14:paraId="4F22AE2A" w14:textId="77777777" w:rsidR="002D103C" w:rsidRPr="0054162B" w:rsidRDefault="002D103C" w:rsidP="002D103C">
                      <w:pPr>
                        <w:pStyle w:val="BodyCopy"/>
                        <w:spacing w:after="0" w:line="240" w:lineRule="auto"/>
                        <w:rPr>
                          <w:b/>
                          <w:color w:val="FF0000"/>
                          <w:sz w:val="36"/>
                          <w:szCs w:val="32"/>
                          <w:lang w:val="fr-CA"/>
                        </w:rPr>
                      </w:pPr>
                    </w:p>
                  </w:txbxContent>
                </v:textbox>
              </v:shape>
            </w:pict>
          </mc:Fallback>
        </mc:AlternateContent>
      </w:r>
      <w:bookmarkEnd w:id="1"/>
    </w:p>
    <w:p w14:paraId="2E3C451A" w14:textId="7F67F92C" w:rsidR="005D66BD" w:rsidRPr="00C43868" w:rsidRDefault="005D66BD" w:rsidP="005D66BD">
      <w:pPr>
        <w:jc w:val="center"/>
        <w:rPr>
          <w:sz w:val="44"/>
          <w:lang w:val="fr-CA"/>
        </w:rPr>
      </w:pPr>
    </w:p>
    <w:p w14:paraId="5933B11D" w14:textId="77777777" w:rsidR="005D66BD" w:rsidRPr="00C43868" w:rsidRDefault="005D66BD" w:rsidP="005D66BD">
      <w:pPr>
        <w:jc w:val="center"/>
        <w:rPr>
          <w:sz w:val="44"/>
          <w:lang w:val="fr-CA"/>
        </w:rPr>
      </w:pPr>
    </w:p>
    <w:p w14:paraId="2F1E87FE" w14:textId="7D71981F" w:rsidR="005D66BD" w:rsidRPr="00C43868" w:rsidRDefault="005D66BD" w:rsidP="005D66BD">
      <w:pPr>
        <w:jc w:val="center"/>
        <w:rPr>
          <w:sz w:val="44"/>
          <w:lang w:val="fr-CA"/>
        </w:rPr>
      </w:pPr>
    </w:p>
    <w:p w14:paraId="4153E8AD" w14:textId="09E5DBAB" w:rsidR="005B3DBF" w:rsidRPr="00C43868" w:rsidRDefault="00124B81" w:rsidP="005B3DBF">
      <w:pPr>
        <w:jc w:val="center"/>
        <w:rPr>
          <w:sz w:val="44"/>
          <w:lang w:val="fr-CA"/>
        </w:rPr>
      </w:pPr>
      <w:r w:rsidRPr="00C43868">
        <w:rPr>
          <w:noProof/>
          <w:lang w:eastAsia="en-CA"/>
        </w:rPr>
        <mc:AlternateContent>
          <mc:Choice Requires="wps">
            <w:drawing>
              <wp:anchor distT="0" distB="0" distL="114300" distR="114300" simplePos="0" relativeHeight="251661312" behindDoc="0" locked="0" layoutInCell="1" allowOverlap="1" wp14:anchorId="2B8E889D" wp14:editId="6698724E">
                <wp:simplePos x="0" y="0"/>
                <wp:positionH relativeFrom="margin">
                  <wp:posOffset>2613025</wp:posOffset>
                </wp:positionH>
                <wp:positionV relativeFrom="paragraph">
                  <wp:posOffset>493395</wp:posOffset>
                </wp:positionV>
                <wp:extent cx="3594100" cy="0"/>
                <wp:effectExtent l="0" t="0" r="25400" b="19050"/>
                <wp:wrapTopAndBottom/>
                <wp:docPr id="12" name="Straight Connector 12"/>
                <wp:cNvGraphicFramePr/>
                <a:graphic xmlns:a="http://schemas.openxmlformats.org/drawingml/2006/main">
                  <a:graphicData uri="http://schemas.microsoft.com/office/word/2010/wordprocessingShape">
                    <wps:wsp>
                      <wps:cNvCnPr/>
                      <wps:spPr>
                        <a:xfrm>
                          <a:off x="0" y="0"/>
                          <a:ext cx="3594100" cy="0"/>
                        </a:xfrm>
                        <a:prstGeom prst="line">
                          <a:avLst/>
                        </a:prstGeom>
                        <a:ln w="19050" cmpd="sng">
                          <a:solidFill>
                            <a:srgbClr val="005EB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xmlns:w="http://schemas.openxmlformats.org/wordprocessingml/2006/main">
              <v:line xmlns:o="urn:schemas-microsoft-com:office:office" xmlns:v="urn:schemas-microsoft-com:vml" xmlns:w14="http://schemas.microsoft.com/office/word/2010/wordml" w14:anchorId="61FE75EA"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75pt,38.85pt" to="488.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" strokecolor="#005eb8" strokeweight="1.5pt">
                <v:stroke joinstyle="miter"/>
                <w10:wrap xmlns:w10="urn:schemas-microsoft-com:office:word" type="topAndBottom" anchorx="margin"/>
              </v:line>
            </w:pict>
          </mc:Fallback>
        </mc:AlternateContent>
      </w:r>
      <w:r w:rsidR="005B3DBF" w:rsidRPr="00C43868">
        <w:rPr>
          <w:sz w:val="44"/>
          <w:lang w:val="fr-CA"/>
        </w:rPr>
        <w:t xml:space="preserve"> </w:t>
      </w:r>
    </w:p>
    <w:p w14:paraId="73BAAB81" w14:textId="655FB199" w:rsidR="005D66BD" w:rsidRPr="00C43868" w:rsidRDefault="00124B81" w:rsidP="005D66BD">
      <w:pPr>
        <w:jc w:val="center"/>
        <w:rPr>
          <w:sz w:val="44"/>
          <w:lang w:val="fr-CA"/>
        </w:rPr>
      </w:pPr>
      <w:r w:rsidRPr="00C43868">
        <w:rPr>
          <w:noProof/>
          <w:lang w:eastAsia="en-CA"/>
        </w:rPr>
        <mc:AlternateContent>
          <mc:Choice Requires="wps">
            <w:drawing>
              <wp:anchor distT="0" distB="0" distL="114300" distR="114300" simplePos="0" relativeHeight="251660288" behindDoc="0" locked="0" layoutInCell="1" allowOverlap="1" wp14:anchorId="216486DC" wp14:editId="39B9F086">
                <wp:simplePos x="0" y="0"/>
                <wp:positionH relativeFrom="column">
                  <wp:posOffset>2679590</wp:posOffset>
                </wp:positionH>
                <wp:positionV relativeFrom="paragraph">
                  <wp:posOffset>262503</wp:posOffset>
                </wp:positionV>
                <wp:extent cx="3543300" cy="1615440"/>
                <wp:effectExtent l="0" t="0" r="0" b="3810"/>
                <wp:wrapThrough wrapText="bothSides">
                  <wp:wrapPolygon edited="0">
                    <wp:start x="232" y="0"/>
                    <wp:lineTo x="232" y="21396"/>
                    <wp:lineTo x="21252" y="21396"/>
                    <wp:lineTo x="21252" y="0"/>
                    <wp:lineTo x="232" y="0"/>
                  </wp:wrapPolygon>
                </wp:wrapThrough>
                <wp:docPr id="4" name="Text Box 4"/>
                <wp:cNvGraphicFramePr/>
                <a:graphic xmlns:a="http://schemas.openxmlformats.org/drawingml/2006/main">
                  <a:graphicData uri="http://schemas.microsoft.com/office/word/2010/wordprocessingShape">
                    <wps:wsp>
                      <wps:cNvSpPr txBox="1"/>
                      <wps:spPr>
                        <a:xfrm>
                          <a:off x="0" y="0"/>
                          <a:ext cx="3543300" cy="161544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82D75C" w14:textId="74538934" w:rsidR="002D103C" w:rsidRPr="0097436D" w:rsidRDefault="00AD5C34" w:rsidP="00AD5C34">
                            <w:pPr>
                              <w:pStyle w:val="TitlePageSubmission"/>
                              <w:rPr>
                                <w:color w:val="0070C0"/>
                                <w:sz w:val="36"/>
                                <w:szCs w:val="36"/>
                                <w:lang w:val="fr-CA"/>
                              </w:rPr>
                            </w:pPr>
                            <w:r w:rsidRPr="0097436D">
                              <w:rPr>
                                <w:color w:val="0070C0"/>
                                <w:sz w:val="36"/>
                                <w:szCs w:val="36"/>
                                <w:lang w:val="fr-CA"/>
                              </w:rPr>
                              <w:t xml:space="preserve">Mémoire d’Unifor </w:t>
                            </w:r>
                            <w:r w:rsidR="00D12444">
                              <w:rPr>
                                <w:color w:val="0070C0"/>
                                <w:sz w:val="36"/>
                                <w:szCs w:val="36"/>
                                <w:lang w:val="fr-CA"/>
                              </w:rPr>
                              <w:t xml:space="preserve">dans le cadre des consultations du </w:t>
                            </w:r>
                            <w:r w:rsidR="00852099">
                              <w:rPr>
                                <w:color w:val="0070C0"/>
                                <w:sz w:val="36"/>
                                <w:szCs w:val="36"/>
                                <w:lang w:val="fr-CA"/>
                              </w:rPr>
                              <w:t xml:space="preserve">Comité permanent des finances </w:t>
                            </w:r>
                            <w:r w:rsidRPr="0097436D">
                              <w:rPr>
                                <w:color w:val="0070C0"/>
                                <w:sz w:val="36"/>
                                <w:szCs w:val="36"/>
                                <w:lang w:val="fr-CA"/>
                              </w:rPr>
                              <w:t xml:space="preserve">sur le budget fédéral </w:t>
                            </w:r>
                            <w:r w:rsidR="00D12444">
                              <w:rPr>
                                <w:color w:val="0070C0"/>
                                <w:sz w:val="36"/>
                                <w:szCs w:val="36"/>
                                <w:lang w:val="fr-CA"/>
                              </w:rPr>
                              <w:t xml:space="preserve">de </w:t>
                            </w:r>
                            <w:r w:rsidRPr="0097436D">
                              <w:rPr>
                                <w:color w:val="0070C0"/>
                                <w:sz w:val="36"/>
                                <w:szCs w:val="36"/>
                                <w:lang w:val="fr-CA"/>
                              </w:rPr>
                              <w:t>2024</w:t>
                            </w:r>
                          </w:p>
                          <w:p w14:paraId="099C124E" w14:textId="4376F528" w:rsidR="002D103C" w:rsidRPr="0097436D" w:rsidRDefault="002D103C" w:rsidP="002D103C">
                            <w:pPr>
                              <w:pStyle w:val="TitlePageSubmission"/>
                              <w:rPr>
                                <w:color w:val="000000" w:themeColor="text1"/>
                                <w:lang w:val="fr-CA"/>
                              </w:rPr>
                            </w:pPr>
                          </w:p>
                          <w:p w14:paraId="45A7C98F" w14:textId="1CF0EDB0" w:rsidR="002D103C" w:rsidRPr="0097436D" w:rsidRDefault="00D14FA9" w:rsidP="002D103C">
                            <w:pPr>
                              <w:pStyle w:val="TitlePageSubmission"/>
                              <w:rPr>
                                <w:color w:val="000000" w:themeColor="text1"/>
                                <w:sz w:val="28"/>
                                <w:szCs w:val="28"/>
                                <w:lang w:val="fr-CA"/>
                              </w:rPr>
                            </w:pPr>
                            <w:r w:rsidRPr="0097436D">
                              <w:rPr>
                                <w:color w:val="000000" w:themeColor="text1"/>
                                <w:sz w:val="28"/>
                                <w:szCs w:val="28"/>
                                <w:lang w:val="fr-CA"/>
                              </w:rPr>
                              <w:t>Août 2023</w:t>
                            </w:r>
                          </w:p>
                          <w:p w14:paraId="38E5EF9A" w14:textId="77777777" w:rsidR="002D103C" w:rsidRPr="0097436D" w:rsidRDefault="002D103C" w:rsidP="002D103C">
                            <w:pPr>
                              <w:pStyle w:val="NoSpacing"/>
                              <w:jc w:val="both"/>
                              <w:rPr>
                                <w:rFonts w:asciiTheme="majorHAnsi" w:hAnsiTheme="majorHAnsi"/>
                                <w:lang w:val="fr-CA"/>
                              </w:rPr>
                            </w:pPr>
                          </w:p>
                          <w:p w14:paraId="6825C0A2" w14:textId="77777777" w:rsidR="002D103C" w:rsidRPr="0097436D" w:rsidRDefault="002D103C" w:rsidP="002D103C">
                            <w:pPr>
                              <w:pStyle w:val="TitlePageSubmission"/>
                              <w:rPr>
                                <w:color w:val="000000" w:themeColor="text1"/>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86DC" id="Text Box 4" o:spid="_x0000_s1027" type="#_x0000_t202" style="position:absolute;left:0;text-align:left;margin-left:211pt;margin-top:20.65pt;width:279pt;height:1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" filled="f" stroked="f">
                <v:textbox>
                  <w:txbxContent>
                    <w:p w14:paraId="7D82D75C" w14:textId="74538934" w:rsidR="002D103C" w:rsidRPr="0097436D" w:rsidRDefault="00AD5C34" w:rsidP="00AD5C34">
                      <w:pPr>
                        <w:pStyle w:val="TitlePageSubmission"/>
                        <w:rPr>
                          <w:color w:val="0070C0"/>
                          <w:sz w:val="36"/>
                          <w:szCs w:val="36"/>
                          <w:lang w:val="fr-CA"/>
                        </w:rPr>
                      </w:pPr>
                      <w:r w:rsidRPr="0097436D">
                        <w:rPr>
                          <w:color w:val="0070C0"/>
                          <w:sz w:val="36"/>
                          <w:szCs w:val="36"/>
                          <w:lang w:val="fr-CA"/>
                        </w:rPr>
                        <w:t xml:space="preserve">Mémoire d’Unifor </w:t>
                      </w:r>
                      <w:r w:rsidR="00D12444">
                        <w:rPr>
                          <w:color w:val="0070C0"/>
                          <w:sz w:val="36"/>
                          <w:szCs w:val="36"/>
                          <w:lang w:val="fr-CA"/>
                        </w:rPr>
                        <w:t xml:space="preserve">dans le cadre des consultations du </w:t>
                      </w:r>
                      <w:r w:rsidR="00852099">
                        <w:rPr>
                          <w:color w:val="0070C0"/>
                          <w:sz w:val="36"/>
                          <w:szCs w:val="36"/>
                          <w:lang w:val="fr-CA"/>
                        </w:rPr>
                        <w:t xml:space="preserve">Comité permanent des finances </w:t>
                      </w:r>
                      <w:r w:rsidRPr="0097436D">
                        <w:rPr>
                          <w:color w:val="0070C0"/>
                          <w:sz w:val="36"/>
                          <w:szCs w:val="36"/>
                          <w:lang w:val="fr-CA"/>
                        </w:rPr>
                        <w:t xml:space="preserve">sur le budget fédéral </w:t>
                      </w:r>
                      <w:r w:rsidR="00D12444">
                        <w:rPr>
                          <w:color w:val="0070C0"/>
                          <w:sz w:val="36"/>
                          <w:szCs w:val="36"/>
                          <w:lang w:val="fr-CA"/>
                        </w:rPr>
                        <w:t xml:space="preserve">de </w:t>
                      </w:r>
                      <w:r w:rsidRPr="0097436D">
                        <w:rPr>
                          <w:color w:val="0070C0"/>
                          <w:sz w:val="36"/>
                          <w:szCs w:val="36"/>
                          <w:lang w:val="fr-CA"/>
                        </w:rPr>
                        <w:t>2024</w:t>
                      </w:r>
                    </w:p>
                    <w:p w14:paraId="099C124E" w14:textId="4376F528" w:rsidR="002D103C" w:rsidRPr="0097436D" w:rsidRDefault="002D103C" w:rsidP="002D103C">
                      <w:pPr>
                        <w:pStyle w:val="TitlePageSubmission"/>
                        <w:rPr>
                          <w:color w:val="000000" w:themeColor="text1"/>
                          <w:lang w:val="fr-CA"/>
                        </w:rPr>
                      </w:pPr>
                    </w:p>
                    <w:p w14:paraId="45A7C98F" w14:textId="1CF0EDB0" w:rsidR="002D103C" w:rsidRPr="0097436D" w:rsidRDefault="00D14FA9" w:rsidP="002D103C">
                      <w:pPr>
                        <w:pStyle w:val="TitlePageSubmission"/>
                        <w:rPr>
                          <w:color w:val="000000" w:themeColor="text1"/>
                          <w:sz w:val="28"/>
                          <w:szCs w:val="28"/>
                          <w:lang w:val="fr-CA"/>
                        </w:rPr>
                      </w:pPr>
                      <w:r w:rsidRPr="0097436D">
                        <w:rPr>
                          <w:color w:val="000000" w:themeColor="text1"/>
                          <w:sz w:val="28"/>
                          <w:szCs w:val="28"/>
                          <w:lang w:val="fr-CA"/>
                        </w:rPr>
                        <w:t>Août 2023</w:t>
                      </w:r>
                    </w:p>
                    <w:p w14:paraId="38E5EF9A" w14:textId="77777777" w:rsidR="002D103C" w:rsidRPr="0097436D" w:rsidRDefault="002D103C" w:rsidP="002D103C">
                      <w:pPr>
                        <w:pStyle w:val="NoSpacing"/>
                        <w:jc w:val="both"/>
                        <w:rPr>
                          <w:rFonts w:asciiTheme="majorHAnsi" w:hAnsiTheme="majorHAnsi"/>
                          <w:lang w:val="fr-CA"/>
                        </w:rPr>
                      </w:pPr>
                    </w:p>
                    <w:p w14:paraId="6825C0A2" w14:textId="77777777" w:rsidR="002D103C" w:rsidRPr="0097436D" w:rsidRDefault="002D103C" w:rsidP="002D103C">
                      <w:pPr>
                        <w:pStyle w:val="TitlePageSubmission"/>
                        <w:rPr>
                          <w:color w:val="000000" w:themeColor="text1"/>
                          <w:lang w:val="fr-CA"/>
                        </w:rPr>
                      </w:pPr>
                    </w:p>
                  </w:txbxContent>
                </v:textbox>
                <w10:wrap type="through"/>
              </v:shape>
            </w:pict>
          </mc:Fallback>
        </mc:AlternateContent>
      </w:r>
    </w:p>
    <w:p w14:paraId="5B526F1E" w14:textId="77777777" w:rsidR="005D66BD" w:rsidRPr="00C43868" w:rsidRDefault="005D66BD" w:rsidP="005D66BD">
      <w:pPr>
        <w:jc w:val="center"/>
        <w:rPr>
          <w:sz w:val="44"/>
          <w:lang w:val="fr-CA"/>
        </w:rPr>
      </w:pPr>
    </w:p>
    <w:p w14:paraId="047DCA76" w14:textId="77777777" w:rsidR="005D66BD" w:rsidRPr="00C43868" w:rsidRDefault="005D66BD" w:rsidP="005D66BD">
      <w:pPr>
        <w:jc w:val="center"/>
        <w:rPr>
          <w:sz w:val="44"/>
          <w:lang w:val="fr-CA"/>
        </w:rPr>
      </w:pPr>
    </w:p>
    <w:p w14:paraId="68CCCE4E" w14:textId="77777777" w:rsidR="005B3DBF" w:rsidRPr="00C43868" w:rsidRDefault="005B3DBF" w:rsidP="005D66BD">
      <w:pPr>
        <w:jc w:val="center"/>
        <w:rPr>
          <w:sz w:val="44"/>
          <w:lang w:val="fr-CA"/>
        </w:rPr>
      </w:pPr>
    </w:p>
    <w:p w14:paraId="2C0F1D08" w14:textId="77777777" w:rsidR="005D66BD" w:rsidRPr="00C43868" w:rsidRDefault="005D66BD" w:rsidP="005D66BD">
      <w:pPr>
        <w:jc w:val="center"/>
        <w:rPr>
          <w:sz w:val="44"/>
          <w:lang w:val="fr-CA"/>
        </w:rPr>
      </w:pPr>
    </w:p>
    <w:p w14:paraId="5AD98975" w14:textId="77777777" w:rsidR="005D66BD" w:rsidRPr="00C43868" w:rsidRDefault="005D66BD" w:rsidP="005D66BD">
      <w:pPr>
        <w:jc w:val="center"/>
        <w:rPr>
          <w:sz w:val="44"/>
          <w:lang w:val="fr-CA"/>
        </w:rPr>
      </w:pPr>
    </w:p>
    <w:p w14:paraId="12B3CDEF" w14:textId="36E5570F" w:rsidR="002D103C" w:rsidRPr="00C43868" w:rsidRDefault="002D103C">
      <w:pPr>
        <w:rPr>
          <w:b/>
          <w:u w:val="single"/>
          <w:lang w:val="fr-CA"/>
        </w:rPr>
      </w:pPr>
      <w:r w:rsidRPr="00C43868">
        <w:rPr>
          <w:noProof/>
          <w:lang w:eastAsia="en-CA"/>
        </w:rPr>
        <mc:AlternateContent>
          <mc:Choice Requires="wps">
            <w:drawing>
              <wp:anchor distT="0" distB="0" distL="114300" distR="114300" simplePos="0" relativeHeight="251663360" behindDoc="0" locked="0" layoutInCell="1" allowOverlap="1" wp14:anchorId="1180004B" wp14:editId="5E4F5E43">
                <wp:simplePos x="0" y="0"/>
                <wp:positionH relativeFrom="column">
                  <wp:posOffset>4770120</wp:posOffset>
                </wp:positionH>
                <wp:positionV relativeFrom="paragraph">
                  <wp:posOffset>2199640</wp:posOffset>
                </wp:positionV>
                <wp:extent cx="1638935" cy="585216"/>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1638935" cy="585216"/>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BFF6E3" w14:textId="6CCA3729" w:rsidR="002D103C" w:rsidRPr="006F0610" w:rsidRDefault="002D103C" w:rsidP="002D103C">
                            <w:pPr>
                              <w:spacing w:after="100" w:afterAutospacing="1"/>
                              <w:rPr>
                                <w:rFonts w:ascii="Calibri" w:hAnsi="Calibri" w:cs="Whitney-Bold"/>
                                <w:b/>
                                <w:bCs/>
                                <w:color w:val="005EB8"/>
                                <w:sz w:val="15"/>
                                <w:szCs w:val="15"/>
                              </w:rPr>
                            </w:pPr>
                            <w:r w:rsidRPr="006F0610">
                              <w:rPr>
                                <w:rFonts w:ascii="Calibri" w:hAnsi="Calibri" w:cs="Whitney-Bold"/>
                                <w:b/>
                                <w:bCs/>
                                <w:color w:val="005EB8"/>
                                <w:sz w:val="15"/>
                                <w:szCs w:val="15"/>
                              </w:rPr>
                              <w:t xml:space="preserve">Tel/Tél : </w:t>
                            </w:r>
                            <w:r w:rsidRPr="006F0610">
                              <w:rPr>
                                <w:rFonts w:ascii="Calibri" w:hAnsi="Calibri" w:cs="Whitney-Bold"/>
                                <w:bCs/>
                                <w:color w:val="005EB8"/>
                                <w:sz w:val="15"/>
                                <w:szCs w:val="15"/>
                              </w:rPr>
                              <w:t>416.497.4110.</w:t>
                            </w:r>
                            <w:r w:rsidRPr="006F0610">
                              <w:rPr>
                                <w:rFonts w:ascii="Calibri" w:hAnsi="Calibri" w:cs="Whitney-Bold"/>
                                <w:b/>
                                <w:bCs/>
                                <w:color w:val="005EB8"/>
                                <w:sz w:val="15"/>
                                <w:szCs w:val="15"/>
                              </w:rPr>
                              <w:br/>
                              <w:t xml:space="preserve">Toll-free/Sans frais: </w:t>
                            </w:r>
                            <w:r w:rsidRPr="006F0610">
                              <w:rPr>
                                <w:rFonts w:ascii="Calibri" w:hAnsi="Calibri" w:cs="Whitney-Bold"/>
                                <w:bCs/>
                                <w:color w:val="005EB8"/>
                                <w:sz w:val="15"/>
                                <w:szCs w:val="15"/>
                              </w:rPr>
                              <w:t>1.800.268.5763</w:t>
                            </w:r>
                            <w:r w:rsidRPr="006F0610">
                              <w:rPr>
                                <w:rFonts w:ascii="Calibri" w:hAnsi="Calibri" w:cs="Whitney-Bold"/>
                                <w:b/>
                                <w:bCs/>
                                <w:color w:val="005EB8"/>
                                <w:sz w:val="15"/>
                                <w:szCs w:val="15"/>
                              </w:rPr>
                              <w:br/>
                            </w:r>
                          </w:p>
                          <w:p w14:paraId="116F3DF5" w14:textId="77777777" w:rsidR="002D103C" w:rsidRPr="006F0610" w:rsidRDefault="002D103C" w:rsidP="002D103C">
                            <w:pPr>
                              <w:spacing w:after="100" w:afterAutospacing="1"/>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004B" id="Text Box 1" o:spid="_x0000_s1028" type="#_x0000_t202" style="position:absolute;margin-left:375.6pt;margin-top:173.2pt;width:129.05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" filled="f" stroked="f">
                <v:textbox>
                  <w:txbxContent>
                    <w:p w14:paraId="5ABFF6E3" w14:textId="6CCA3729" w:rsidR="002D103C" w:rsidRPr="006F0610" w:rsidRDefault="002D103C" w:rsidP="002D103C">
                      <w:pPr>
                        <w:spacing w:after="100" w:afterAutospacing="1"/>
                        <w:rPr>
                          <w:rFonts w:ascii="Calibri" w:hAnsi="Calibri" w:cs="Whitney-Bold"/>
                          <w:b/>
                          <w:bCs/>
                          <w:color w:val="005EB8"/>
                          <w:sz w:val="15"/>
                          <w:szCs w:val="15"/>
                        </w:rPr>
                      </w:pPr>
                      <w:r w:rsidRPr="006F0610">
                        <w:rPr>
                          <w:rFonts w:ascii="Calibri" w:hAnsi="Calibri" w:cs="Whitney-Bold"/>
                          <w:b/>
                          <w:bCs/>
                          <w:color w:val="005EB8"/>
                          <w:sz w:val="15"/>
                          <w:szCs w:val="15"/>
                        </w:rPr>
                        <w:t xml:space="preserve">Tel/Tél : </w:t>
                      </w:r>
                      <w:r w:rsidRPr="006F0610">
                        <w:rPr>
                          <w:rFonts w:ascii="Calibri" w:hAnsi="Calibri" w:cs="Whitney-Bold"/>
                          <w:bCs/>
                          <w:color w:val="005EB8"/>
                          <w:sz w:val="15"/>
                          <w:szCs w:val="15"/>
                        </w:rPr>
                        <w:t>416.497.4110.</w:t>
                      </w:r>
                      <w:r w:rsidRPr="006F0610">
                        <w:rPr>
                          <w:rFonts w:ascii="Calibri" w:hAnsi="Calibri" w:cs="Whitney-Bold"/>
                          <w:b/>
                          <w:bCs/>
                          <w:color w:val="005EB8"/>
                          <w:sz w:val="15"/>
                          <w:szCs w:val="15"/>
                        </w:rPr>
                        <w:br/>
                        <w:t xml:space="preserve">Toll-free/Sans frais: </w:t>
                      </w:r>
                      <w:r w:rsidRPr="006F0610">
                        <w:rPr>
                          <w:rFonts w:ascii="Calibri" w:hAnsi="Calibri" w:cs="Whitney-Bold"/>
                          <w:bCs/>
                          <w:color w:val="005EB8"/>
                          <w:sz w:val="15"/>
                          <w:szCs w:val="15"/>
                        </w:rPr>
                        <w:t>1.800.268.5763</w:t>
                      </w:r>
                      <w:r w:rsidRPr="006F0610">
                        <w:rPr>
                          <w:rFonts w:ascii="Calibri" w:hAnsi="Calibri" w:cs="Whitney-Bold"/>
                          <w:b/>
                          <w:bCs/>
                          <w:color w:val="005EB8"/>
                          <w:sz w:val="15"/>
                          <w:szCs w:val="15"/>
                        </w:rPr>
                        <w:br/>
                      </w:r>
                    </w:p>
                    <w:p w14:paraId="116F3DF5" w14:textId="77777777" w:rsidR="002D103C" w:rsidRPr="006F0610" w:rsidRDefault="002D103C" w:rsidP="002D103C">
                      <w:pPr>
                        <w:spacing w:after="100" w:afterAutospacing="1"/>
                        <w:rPr>
                          <w:sz w:val="15"/>
                          <w:szCs w:val="15"/>
                        </w:rPr>
                      </w:pPr>
                    </w:p>
                  </w:txbxContent>
                </v:textbox>
                <w10:wrap type="square"/>
              </v:shape>
            </w:pict>
          </mc:Fallback>
        </mc:AlternateContent>
      </w:r>
      <w:r w:rsidRPr="00C43868">
        <w:rPr>
          <w:rFonts w:ascii="Calibri" w:hAnsi="Calibri"/>
          <w:b/>
          <w:noProof/>
          <w:color w:val="1F5193"/>
          <w:lang w:eastAsia="en-CA"/>
        </w:rPr>
        <w:drawing>
          <wp:anchor distT="0" distB="0" distL="114300" distR="114300" simplePos="0" relativeHeight="251665408" behindDoc="1" locked="0" layoutInCell="1" allowOverlap="1" wp14:anchorId="09A9CFF1" wp14:editId="1C43751A">
            <wp:simplePos x="0" y="0"/>
            <wp:positionH relativeFrom="margin">
              <wp:posOffset>-219456</wp:posOffset>
            </wp:positionH>
            <wp:positionV relativeFrom="margin">
              <wp:align>bottom</wp:align>
            </wp:positionV>
            <wp:extent cx="2306955" cy="914400"/>
            <wp:effectExtent l="0" t="0" r="0" b="0"/>
            <wp:wrapTight wrapText="bothSides">
              <wp:wrapPolygon edited="0">
                <wp:start x="0" y="0"/>
                <wp:lineTo x="0" y="21150"/>
                <wp:lineTo x="21404" y="21150"/>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OR-bilingual-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6955" cy="914400"/>
                    </a:xfrm>
                    <a:prstGeom prst="rect">
                      <a:avLst/>
                    </a:prstGeom>
                  </pic:spPr>
                </pic:pic>
              </a:graphicData>
            </a:graphic>
            <wp14:sizeRelH relativeFrom="page">
              <wp14:pctWidth>0</wp14:pctWidth>
            </wp14:sizeRelH>
            <wp14:sizeRelV relativeFrom="page">
              <wp14:pctHeight>0</wp14:pctHeight>
            </wp14:sizeRelV>
          </wp:anchor>
        </w:drawing>
      </w:r>
      <w:r w:rsidRPr="00C43868">
        <w:rPr>
          <w:b/>
          <w:u w:val="single"/>
          <w:lang w:val="fr-CA"/>
        </w:rPr>
        <w:br w:type="page"/>
      </w:r>
    </w:p>
    <w:p w14:paraId="24E1CC43" w14:textId="7D276E7F" w:rsidR="00174F5D" w:rsidRPr="00C43868" w:rsidRDefault="0081024C" w:rsidP="00E55B50">
      <w:pPr>
        <w:pStyle w:val="Heading1"/>
        <w:rPr>
          <w:lang w:val="fr-CA"/>
        </w:rPr>
      </w:pPr>
      <w:r w:rsidRPr="00C43868">
        <w:rPr>
          <w:lang w:val="fr-CA"/>
        </w:rPr>
        <w:lastRenderedPageBreak/>
        <w:t>À propos d’Unifor</w:t>
      </w:r>
    </w:p>
    <w:p w14:paraId="0C3F987D" w14:textId="2403C77B" w:rsidR="0081024C" w:rsidRPr="00C43868" w:rsidRDefault="0081024C" w:rsidP="00E0694B">
      <w:pPr>
        <w:rPr>
          <w:lang w:val="fr-CA"/>
        </w:rPr>
      </w:pPr>
      <w:r w:rsidRPr="00C43868">
        <w:rPr>
          <w:lang w:val="fr-CA"/>
        </w:rPr>
        <w:t>Unifor est le plus grand syndicat du secteur privé au Canada. Il représente 315</w:t>
      </w:r>
      <w:r w:rsidR="00D12444">
        <w:rPr>
          <w:lang w:val="fr-CA"/>
        </w:rPr>
        <w:t> </w:t>
      </w:r>
      <w:r w:rsidRPr="00C43868">
        <w:rPr>
          <w:lang w:val="fr-CA"/>
        </w:rPr>
        <w:t>000</w:t>
      </w:r>
      <w:r w:rsidR="00D12444">
        <w:rPr>
          <w:lang w:val="fr-CA"/>
        </w:rPr>
        <w:t> </w:t>
      </w:r>
      <w:r w:rsidRPr="00C43868">
        <w:rPr>
          <w:lang w:val="fr-CA"/>
        </w:rPr>
        <w:t xml:space="preserve">travailleuses et travailleurs à l’échelle nationale dans tous les grands secteurs de l’économie, y compris la fabrication de pointe, les ressources naturelles, les transports, les communications ainsi que les secteurs des services publics et privés. Au nom de ces membres, de leur famille et de leurs communautés, Unifor accueille positivement l’occasion qui lui est donnée de partager les priorités de l’organisation pour le budget </w:t>
      </w:r>
      <w:r w:rsidR="00D12444">
        <w:rPr>
          <w:lang w:val="fr-CA"/>
        </w:rPr>
        <w:t xml:space="preserve">de </w:t>
      </w:r>
      <w:r w:rsidRPr="00C43868">
        <w:rPr>
          <w:lang w:val="fr-CA"/>
        </w:rPr>
        <w:t>2024.</w:t>
      </w:r>
    </w:p>
    <w:p w14:paraId="17C3D345" w14:textId="06BC13A7" w:rsidR="0081024C" w:rsidRPr="00C43868" w:rsidRDefault="008C44FA" w:rsidP="00E55B50">
      <w:pPr>
        <w:pStyle w:val="Heading1"/>
        <w:rPr>
          <w:lang w:val="fr-CA"/>
        </w:rPr>
      </w:pPr>
      <w:r w:rsidRPr="00C43868">
        <w:rPr>
          <w:lang w:val="fr-CA"/>
        </w:rPr>
        <w:t>Orienter le développement économique par le biais de la politique industrielle et d’un soutien accru aux travailleuses et travailleurs en 2024</w:t>
      </w:r>
    </w:p>
    <w:p w14:paraId="0EE7258F" w14:textId="0BA5451F" w:rsidR="00687CA5" w:rsidRDefault="00830034" w:rsidP="00830034">
      <w:pPr>
        <w:rPr>
          <w:lang w:val="fr-CA"/>
        </w:rPr>
      </w:pPr>
      <w:r w:rsidRPr="00C43868">
        <w:rPr>
          <w:lang w:val="fr-CA"/>
        </w:rPr>
        <w:t xml:space="preserve">Une économie florissante </w:t>
      </w:r>
      <w:r w:rsidR="00D12444">
        <w:rPr>
          <w:lang w:val="fr-CA"/>
        </w:rPr>
        <w:t>employant</w:t>
      </w:r>
      <w:r w:rsidRPr="00C43868">
        <w:rPr>
          <w:lang w:val="fr-CA"/>
        </w:rPr>
        <w:t xml:space="preserve"> des travailleuses et travailleurs qualifiés, </w:t>
      </w:r>
      <w:r w:rsidR="00D12444">
        <w:rPr>
          <w:lang w:val="fr-CA"/>
        </w:rPr>
        <w:t xml:space="preserve">offrant </w:t>
      </w:r>
      <w:r w:rsidRPr="00C43868">
        <w:rPr>
          <w:lang w:val="fr-CA"/>
        </w:rPr>
        <w:t xml:space="preserve">de bons emplois et </w:t>
      </w:r>
      <w:r w:rsidR="00D12444">
        <w:rPr>
          <w:lang w:val="fr-CA"/>
        </w:rPr>
        <w:t>assurant une</w:t>
      </w:r>
      <w:r w:rsidRPr="00C43868">
        <w:rPr>
          <w:lang w:val="fr-CA"/>
        </w:rPr>
        <w:t xml:space="preserve"> prospérité partagée n’est pas le fruit du hasard. La renaissance industrielle actuelle, moteur de la transition vers les véhicules électriques, est le résultat d’une réflexion stratégique et prospective et </w:t>
      </w:r>
      <w:r w:rsidR="00D12444">
        <w:rPr>
          <w:lang w:val="fr-CA"/>
        </w:rPr>
        <w:t>d’</w:t>
      </w:r>
      <w:r w:rsidRPr="00C43868">
        <w:rPr>
          <w:lang w:val="fr-CA"/>
        </w:rPr>
        <w:t>investissement</w:t>
      </w:r>
      <w:r w:rsidR="00D12444">
        <w:rPr>
          <w:lang w:val="fr-CA"/>
        </w:rPr>
        <w:t>s publics</w:t>
      </w:r>
      <w:r w:rsidRPr="00C43868">
        <w:rPr>
          <w:lang w:val="fr-CA"/>
        </w:rPr>
        <w:t>. Ce leadership doit être reproduit dans l’ensemble de notre économie</w:t>
      </w:r>
      <w:r w:rsidR="00D12444">
        <w:rPr>
          <w:lang w:val="fr-CA"/>
        </w:rPr>
        <w:t xml:space="preserve">, notamment </w:t>
      </w:r>
      <w:r w:rsidRPr="00C43868">
        <w:rPr>
          <w:lang w:val="fr-CA"/>
        </w:rPr>
        <w:t xml:space="preserve">dans les </w:t>
      </w:r>
      <w:r w:rsidR="00D12444">
        <w:rPr>
          <w:lang w:val="fr-CA"/>
        </w:rPr>
        <w:t xml:space="preserve">secteurs </w:t>
      </w:r>
      <w:r w:rsidRPr="00C43868">
        <w:rPr>
          <w:lang w:val="fr-CA"/>
        </w:rPr>
        <w:t>de l’énergie, des transports, des communications, de la fabrication et des services.</w:t>
      </w:r>
    </w:p>
    <w:p w14:paraId="3D977E58" w14:textId="1A1E367B" w:rsidR="00830034" w:rsidRPr="00C43868" w:rsidRDefault="00687CA5" w:rsidP="00830034">
      <w:pPr>
        <w:rPr>
          <w:lang w:val="fr-CA"/>
        </w:rPr>
      </w:pPr>
      <w:r w:rsidRPr="00C43868">
        <w:rPr>
          <w:lang w:val="fr-CA"/>
        </w:rPr>
        <w:t xml:space="preserve">Les gouvernements doivent lier les investissements publics à des objectifs sociaux et de développement durable, dont les conditions de travail, l’inclusion et la diversité en milieu de travail, une fiscalité équitable et </w:t>
      </w:r>
      <w:r w:rsidR="00D12444">
        <w:rPr>
          <w:lang w:val="fr-CA"/>
        </w:rPr>
        <w:t>l’élargissement</w:t>
      </w:r>
      <w:r w:rsidRPr="00C43868">
        <w:rPr>
          <w:lang w:val="fr-CA"/>
        </w:rPr>
        <w:t xml:space="preserve"> des programmes publics. </w:t>
      </w:r>
    </w:p>
    <w:p w14:paraId="21E70047" w14:textId="6FCFD671" w:rsidR="001C736B" w:rsidRPr="00C43868" w:rsidRDefault="001C736B" w:rsidP="00830034">
      <w:pPr>
        <w:rPr>
          <w:lang w:val="fr-CA"/>
        </w:rPr>
      </w:pPr>
      <w:r w:rsidRPr="00C43868">
        <w:rPr>
          <w:lang w:val="fr-CA"/>
        </w:rPr>
        <w:t xml:space="preserve">Le gouvernement fédéral doit utiliser le budget 2024 pour continuer à voir grand et à </w:t>
      </w:r>
      <w:r w:rsidR="00D12444">
        <w:rPr>
          <w:lang w:val="fr-CA"/>
        </w:rPr>
        <w:t>« </w:t>
      </w:r>
      <w:r w:rsidRPr="00C43868">
        <w:rPr>
          <w:lang w:val="fr-CA"/>
        </w:rPr>
        <w:t>bâtir grand</w:t>
      </w:r>
      <w:r w:rsidR="00D12444">
        <w:rPr>
          <w:lang w:val="fr-CA"/>
        </w:rPr>
        <w:t> »</w:t>
      </w:r>
      <w:r w:rsidRPr="00C43868">
        <w:rPr>
          <w:lang w:val="fr-CA"/>
        </w:rPr>
        <w:t xml:space="preserve"> partout au pays afin de maximiser les avantages du développement économique pour les travailleuses et travailleurs d’un océan à l’autre. </w:t>
      </w:r>
    </w:p>
    <w:p w14:paraId="1698886D" w14:textId="298AC836" w:rsidR="00AD5C34" w:rsidRPr="00C43868" w:rsidRDefault="00AD5C34" w:rsidP="00AD5C34">
      <w:pPr>
        <w:pStyle w:val="Heading1"/>
        <w:rPr>
          <w:lang w:val="fr-CA"/>
        </w:rPr>
      </w:pPr>
      <w:r w:rsidRPr="00C43868">
        <w:rPr>
          <w:lang w:val="fr-CA"/>
        </w:rPr>
        <w:t>Mesures globales de soutien à la transition et de stabilisation économique</w:t>
      </w:r>
    </w:p>
    <w:p w14:paraId="376701B1" w14:textId="078C596E" w:rsidR="00AD5C34" w:rsidRPr="00C43868" w:rsidRDefault="00AD5C34" w:rsidP="004F1C1E">
      <w:pPr>
        <w:pStyle w:val="Heading2"/>
        <w:numPr>
          <w:ilvl w:val="0"/>
          <w:numId w:val="31"/>
        </w:numPr>
        <w:spacing w:before="240" w:line="240" w:lineRule="auto"/>
        <w:rPr>
          <w:rFonts w:eastAsia="Times New Roman"/>
          <w:lang w:val="fr-CA"/>
        </w:rPr>
      </w:pPr>
      <w:r w:rsidRPr="00C43868">
        <w:rPr>
          <w:rFonts w:eastAsia="Times New Roman"/>
          <w:lang w:val="fr-CA"/>
        </w:rPr>
        <w:t>Concevoir et mettre en œuvre un programme de transition juste</w:t>
      </w:r>
    </w:p>
    <w:p w14:paraId="05B8A70A" w14:textId="29A4B8C7" w:rsidR="00AD5C34" w:rsidRPr="00C43868" w:rsidRDefault="00AD5C34" w:rsidP="00E0694B">
      <w:pPr>
        <w:rPr>
          <w:lang w:val="fr-CA"/>
        </w:rPr>
      </w:pPr>
      <w:r w:rsidRPr="00C43868">
        <w:rPr>
          <w:lang w:val="fr-CA"/>
        </w:rPr>
        <w:t>Le</w:t>
      </w:r>
      <w:r w:rsidR="00D12444">
        <w:rPr>
          <w:lang w:val="fr-CA"/>
        </w:rPr>
        <w:t xml:space="preserve"> Plan d’action sur les emplois durables</w:t>
      </w:r>
      <w:r w:rsidRPr="00C43868">
        <w:rPr>
          <w:i/>
          <w:lang w:val="fr-CA"/>
        </w:rPr>
        <w:t xml:space="preserve"> </w:t>
      </w:r>
      <w:r w:rsidRPr="00C43868">
        <w:rPr>
          <w:lang w:val="fr-CA"/>
        </w:rPr>
        <w:t>et l</w:t>
      </w:r>
      <w:r w:rsidR="00D12444">
        <w:rPr>
          <w:lang w:val="fr-CA"/>
        </w:rPr>
        <w:t>a</w:t>
      </w:r>
      <w:r w:rsidRPr="00C43868">
        <w:rPr>
          <w:lang w:val="fr-CA"/>
        </w:rPr>
        <w:t xml:space="preserve"> </w:t>
      </w:r>
      <w:r w:rsidRPr="00C43868">
        <w:rPr>
          <w:i/>
          <w:lang w:val="fr-CA"/>
        </w:rPr>
        <w:t xml:space="preserve">Loi canadienne sur les emplois durables </w:t>
      </w:r>
      <w:r w:rsidR="00D12444">
        <w:rPr>
          <w:iCs/>
          <w:lang w:val="fr-CA"/>
        </w:rPr>
        <w:t xml:space="preserve">proposée </w:t>
      </w:r>
      <w:r w:rsidRPr="00C43868">
        <w:rPr>
          <w:lang w:val="fr-CA"/>
        </w:rPr>
        <w:t xml:space="preserve">constituent les premières mesures concrètes mises </w:t>
      </w:r>
      <w:r w:rsidR="00D12444">
        <w:rPr>
          <w:lang w:val="fr-CA"/>
        </w:rPr>
        <w:t>de l’</w:t>
      </w:r>
      <w:r w:rsidRPr="00C43868">
        <w:rPr>
          <w:lang w:val="fr-CA"/>
        </w:rPr>
        <w:t xml:space="preserve">avant pour élaborer et mettre en œuvre un programme de transition juste. Pour atteindre ses objectifs et suivre son approche pangouvernementale, le programme aura besoin d’un financement direct et spécifique. Le gouvernement ne peut pas se contenter de s’appuyer sur une série d’engagements budgétaires préexistants. </w:t>
      </w:r>
    </w:p>
    <w:p w14:paraId="2C571C8D" w14:textId="77777777" w:rsidR="005D7A3A" w:rsidRDefault="005D7A3A">
      <w:pPr>
        <w:rPr>
          <w:rFonts w:eastAsia="Times New Roman" w:cs="Arial"/>
          <w:color w:val="000000"/>
          <w:szCs w:val="24"/>
          <w:lang w:val="fr-CA"/>
        </w:rPr>
      </w:pPr>
      <w:r>
        <w:rPr>
          <w:rFonts w:eastAsia="Times New Roman" w:cs="Arial"/>
          <w:color w:val="000000"/>
          <w:szCs w:val="24"/>
          <w:lang w:val="fr-CA"/>
        </w:rPr>
        <w:br w:type="page"/>
      </w:r>
    </w:p>
    <w:p w14:paraId="17ECE5E7" w14:textId="598A5E79" w:rsidR="00AD5C34" w:rsidRPr="00C43868" w:rsidRDefault="00AD5C34" w:rsidP="00AD5C34">
      <w:pPr>
        <w:rPr>
          <w:rFonts w:eastAsia="Times New Roman" w:cs="Arial"/>
          <w:color w:val="000000"/>
          <w:szCs w:val="24"/>
          <w:lang w:val="fr-CA"/>
        </w:rPr>
      </w:pPr>
      <w:r w:rsidRPr="00C43868">
        <w:rPr>
          <w:rFonts w:eastAsia="Times New Roman" w:cs="Arial"/>
          <w:color w:val="000000"/>
          <w:szCs w:val="24"/>
          <w:lang w:val="fr-CA"/>
        </w:rPr>
        <w:lastRenderedPageBreak/>
        <w:t xml:space="preserve">Unifor recommande au gouvernement : </w:t>
      </w:r>
    </w:p>
    <w:p w14:paraId="763C9C64" w14:textId="5361632C" w:rsidR="00AD5C34" w:rsidRPr="00C43868" w:rsidRDefault="0067700E" w:rsidP="00AD5C34">
      <w:pPr>
        <w:numPr>
          <w:ilvl w:val="0"/>
          <w:numId w:val="21"/>
        </w:numPr>
        <w:spacing w:after="240" w:line="240" w:lineRule="auto"/>
        <w:rPr>
          <w:rFonts w:eastAsia="Times New Roman" w:cs="Arial"/>
          <w:color w:val="000000"/>
          <w:lang w:val="fr-CA"/>
        </w:rPr>
      </w:pPr>
      <w:r w:rsidRPr="00C43868">
        <w:rPr>
          <w:rFonts w:eastAsia="Times New Roman" w:cs="Arial"/>
          <w:color w:val="000000"/>
          <w:lang w:val="fr-CA"/>
        </w:rPr>
        <w:t>de m</w:t>
      </w:r>
      <w:r w:rsidR="00AD5C34" w:rsidRPr="00C43868">
        <w:rPr>
          <w:rFonts w:eastAsia="Times New Roman" w:cs="Arial"/>
          <w:color w:val="000000"/>
          <w:lang w:val="fr-CA"/>
        </w:rPr>
        <w:t xml:space="preserve">ettre en place un Fonds de transition juste pour soutenir les travailleuses et travailleurs qui seront touchés </w:t>
      </w:r>
      <w:r w:rsidRPr="00C43868">
        <w:rPr>
          <w:rFonts w:eastAsia="Times New Roman" w:cs="Arial"/>
          <w:color w:val="000000"/>
          <w:lang w:val="fr-CA"/>
        </w:rPr>
        <w:t>par</w:t>
      </w:r>
      <w:r w:rsidR="00AD5C34" w:rsidRPr="00C43868">
        <w:rPr>
          <w:rFonts w:eastAsia="Times New Roman" w:cs="Arial"/>
          <w:color w:val="000000"/>
          <w:lang w:val="fr-CA"/>
        </w:rPr>
        <w:t xml:space="preserve"> la décarbonisation, </w:t>
      </w:r>
      <w:r w:rsidRPr="00C43868">
        <w:rPr>
          <w:rFonts w:eastAsia="Times New Roman" w:cs="Arial"/>
          <w:color w:val="000000"/>
          <w:lang w:val="fr-CA"/>
        </w:rPr>
        <w:t>l</w:t>
      </w:r>
      <w:r w:rsidR="00AD5C34" w:rsidRPr="00C43868">
        <w:rPr>
          <w:rFonts w:eastAsia="Times New Roman" w:cs="Arial"/>
          <w:color w:val="000000"/>
          <w:lang w:val="fr-CA"/>
        </w:rPr>
        <w:t xml:space="preserve">es changements technologiques, </w:t>
      </w:r>
      <w:r w:rsidR="00AD5C34" w:rsidRPr="00C43868">
        <w:rPr>
          <w:rFonts w:eastAsia="Times New Roman" w:cs="Arial"/>
          <w:color w:val="000000"/>
          <w:szCs w:val="24"/>
          <w:lang w:val="fr-CA"/>
        </w:rPr>
        <w:t>la protection accrue des habitats fauniques et de la biodiversité</w:t>
      </w:r>
      <w:r w:rsidR="00001BF2">
        <w:rPr>
          <w:rFonts w:eastAsia="Times New Roman" w:cs="Arial"/>
          <w:color w:val="000000"/>
          <w:szCs w:val="24"/>
          <w:lang w:val="fr-CA"/>
        </w:rPr>
        <w:t>,</w:t>
      </w:r>
      <w:r w:rsidR="00AD5C34" w:rsidRPr="00C43868">
        <w:rPr>
          <w:rFonts w:eastAsia="Times New Roman" w:cs="Arial"/>
          <w:color w:val="000000"/>
          <w:lang w:val="fr-CA"/>
        </w:rPr>
        <w:t xml:space="preserve"> et </w:t>
      </w:r>
      <w:r w:rsidRPr="00C43868">
        <w:rPr>
          <w:rFonts w:eastAsia="Times New Roman" w:cs="Arial"/>
          <w:color w:val="000000"/>
          <w:lang w:val="fr-CA"/>
        </w:rPr>
        <w:t xml:space="preserve">le </w:t>
      </w:r>
      <w:r w:rsidR="00AD5C34" w:rsidRPr="00C43868">
        <w:rPr>
          <w:rFonts w:eastAsia="Times New Roman" w:cs="Arial"/>
          <w:color w:val="000000"/>
          <w:lang w:val="fr-CA"/>
        </w:rPr>
        <w:t>changement climatique;</w:t>
      </w:r>
    </w:p>
    <w:p w14:paraId="51814EAE" w14:textId="23145DCA" w:rsidR="0067700E" w:rsidRPr="00C43868" w:rsidRDefault="0067700E" w:rsidP="00AD5C34">
      <w:pPr>
        <w:numPr>
          <w:ilvl w:val="0"/>
          <w:numId w:val="21"/>
        </w:numPr>
        <w:spacing w:after="240" w:line="240" w:lineRule="auto"/>
        <w:rPr>
          <w:rFonts w:eastAsia="Times New Roman" w:cs="Arial"/>
          <w:color w:val="000000"/>
          <w:lang w:val="fr-CA"/>
        </w:rPr>
      </w:pPr>
      <w:r w:rsidRPr="00C43868">
        <w:rPr>
          <w:rFonts w:eastAsia="Times New Roman" w:cs="Arial"/>
          <w:color w:val="000000"/>
          <w:lang w:val="fr-CA"/>
        </w:rPr>
        <w:t>de permettre un large éventail de réponses à la transition et de soutenir la transition des emplois syndicaux de qualité existants tout en créant de nouveaux emplois;</w:t>
      </w:r>
    </w:p>
    <w:p w14:paraId="0E48A17E" w14:textId="2511AE36" w:rsidR="00AD5C34" w:rsidRPr="00C43868" w:rsidRDefault="0067700E" w:rsidP="00AD5C34">
      <w:pPr>
        <w:numPr>
          <w:ilvl w:val="0"/>
          <w:numId w:val="21"/>
        </w:numPr>
        <w:spacing w:after="240" w:line="240" w:lineRule="auto"/>
        <w:rPr>
          <w:rFonts w:eastAsia="Times New Roman" w:cs="Arial"/>
          <w:color w:val="000000"/>
          <w:lang w:val="fr-CA"/>
        </w:rPr>
      </w:pPr>
      <w:r w:rsidRPr="00C43868">
        <w:rPr>
          <w:rFonts w:eastAsia="Times New Roman" w:cs="Arial"/>
          <w:color w:val="000000"/>
          <w:lang w:val="fr-CA"/>
        </w:rPr>
        <w:t>de v</w:t>
      </w:r>
      <w:r w:rsidR="00AD5C34" w:rsidRPr="00C43868">
        <w:rPr>
          <w:rFonts w:eastAsia="Times New Roman" w:cs="Arial"/>
          <w:color w:val="000000"/>
          <w:lang w:val="fr-CA"/>
        </w:rPr>
        <w:t xml:space="preserve">eiller à ce que le financement </w:t>
      </w:r>
      <w:r w:rsidR="00A6184C">
        <w:rPr>
          <w:rFonts w:eastAsia="Times New Roman" w:cs="Arial"/>
          <w:color w:val="000000"/>
          <w:lang w:val="fr-CA"/>
        </w:rPr>
        <w:t xml:space="preserve">public </w:t>
      </w:r>
      <w:r w:rsidR="00AD5C34" w:rsidRPr="00C43868">
        <w:rPr>
          <w:rFonts w:eastAsia="Times New Roman" w:cs="Arial"/>
          <w:color w:val="000000"/>
          <w:lang w:val="fr-CA"/>
        </w:rPr>
        <w:t xml:space="preserve">soutienne les transitions dans tous les secteurs </w:t>
      </w:r>
      <w:r w:rsidR="00A6184C">
        <w:rPr>
          <w:rFonts w:eastAsia="Times New Roman" w:cs="Arial"/>
          <w:color w:val="000000"/>
          <w:lang w:val="fr-CA"/>
        </w:rPr>
        <w:t xml:space="preserve">afin de faciliter </w:t>
      </w:r>
      <w:r w:rsidR="00AD5C34" w:rsidRPr="00C43868">
        <w:rPr>
          <w:rFonts w:eastAsia="Times New Roman" w:cs="Arial"/>
          <w:color w:val="000000"/>
          <w:lang w:val="fr-CA"/>
        </w:rPr>
        <w:t>l’ensemble du processus de transition, et pas seulement la phase initiale de construction du projet.</w:t>
      </w:r>
    </w:p>
    <w:p w14:paraId="6F6414B3" w14:textId="72A2E893" w:rsidR="00AD5C34" w:rsidRPr="00C43868" w:rsidRDefault="00AD5C34" w:rsidP="00AD5C34">
      <w:pPr>
        <w:pStyle w:val="Heading2"/>
        <w:numPr>
          <w:ilvl w:val="0"/>
          <w:numId w:val="31"/>
        </w:numPr>
        <w:rPr>
          <w:rFonts w:eastAsiaTheme="minorEastAsia"/>
          <w:lang w:val="fr-CA"/>
        </w:rPr>
      </w:pPr>
      <w:r w:rsidRPr="00C43868">
        <w:rPr>
          <w:rFonts w:eastAsiaTheme="minorEastAsia"/>
          <w:lang w:val="fr-CA"/>
        </w:rPr>
        <w:t xml:space="preserve">Réforme permanente de l’assurance-emploi </w:t>
      </w:r>
    </w:p>
    <w:p w14:paraId="5266FD9F" w14:textId="46CE9F10" w:rsidR="00397D42" w:rsidRPr="00C43868" w:rsidRDefault="001C736B" w:rsidP="00E0694B">
      <w:pPr>
        <w:rPr>
          <w:lang w:val="fr-CA"/>
        </w:rPr>
      </w:pPr>
      <w:r w:rsidRPr="00C43868">
        <w:rPr>
          <w:lang w:val="fr-CA"/>
        </w:rPr>
        <w:t xml:space="preserve">L’assurance-emploi est un important stabilisateur économique et un outil qui permet aux </w:t>
      </w:r>
      <w:r w:rsidR="00C93F2D">
        <w:rPr>
          <w:lang w:val="fr-CA"/>
        </w:rPr>
        <w:t xml:space="preserve">travailleuses et travailleurs </w:t>
      </w:r>
      <w:r w:rsidRPr="00C43868">
        <w:rPr>
          <w:lang w:val="fr-CA"/>
        </w:rPr>
        <w:t xml:space="preserve">de continuer à satisfaire leurs besoins fondamentaux </w:t>
      </w:r>
      <w:r w:rsidR="00C93F2D">
        <w:rPr>
          <w:lang w:val="fr-CA"/>
        </w:rPr>
        <w:t>lors d’une perte d’emploi</w:t>
      </w:r>
      <w:r w:rsidRPr="00C43868">
        <w:rPr>
          <w:lang w:val="fr-CA"/>
        </w:rPr>
        <w:t xml:space="preserve">, </w:t>
      </w:r>
      <w:r w:rsidR="00C93F2D">
        <w:rPr>
          <w:lang w:val="fr-CA"/>
        </w:rPr>
        <w:t xml:space="preserve">d’une </w:t>
      </w:r>
      <w:r w:rsidRPr="00C43868">
        <w:rPr>
          <w:lang w:val="fr-CA"/>
        </w:rPr>
        <w:t xml:space="preserve">formation ou </w:t>
      </w:r>
      <w:r w:rsidR="00C93F2D">
        <w:rPr>
          <w:lang w:val="fr-CA"/>
        </w:rPr>
        <w:t xml:space="preserve">d’une </w:t>
      </w:r>
      <w:r w:rsidRPr="00C43868">
        <w:rPr>
          <w:lang w:val="fr-CA"/>
        </w:rPr>
        <w:t xml:space="preserve">transition. Ce programme </w:t>
      </w:r>
      <w:r w:rsidR="00C93F2D">
        <w:rPr>
          <w:lang w:val="fr-CA"/>
        </w:rPr>
        <w:t xml:space="preserve">doit toutefois subir </w:t>
      </w:r>
      <w:r w:rsidR="001744E1" w:rsidRPr="00C43868">
        <w:rPr>
          <w:lang w:val="fr-CA"/>
        </w:rPr>
        <w:t>une réforme</w:t>
      </w:r>
      <w:r w:rsidRPr="00C43868">
        <w:rPr>
          <w:lang w:val="fr-CA"/>
        </w:rPr>
        <w:t xml:space="preserve">. </w:t>
      </w:r>
    </w:p>
    <w:p w14:paraId="5B6C14F1" w14:textId="2E05C582" w:rsidR="001744E1" w:rsidRPr="00C43868" w:rsidRDefault="001744E1" w:rsidP="00E0694B">
      <w:pPr>
        <w:rPr>
          <w:lang w:val="fr-CA"/>
        </w:rPr>
      </w:pPr>
      <w:r w:rsidRPr="00C43868">
        <w:rPr>
          <w:lang w:val="fr-CA"/>
        </w:rPr>
        <w:t>Le plan de réforme complet de l’assurance-emploi d’Unifor comprend une série de recommandations, notamment</w:t>
      </w:r>
      <w:r w:rsidRPr="00C43868">
        <w:rPr>
          <w:rStyle w:val="FootnoteReference"/>
          <w:lang w:val="fr-CA"/>
        </w:rPr>
        <w:footnoteReference w:id="1"/>
      </w:r>
      <w:r w:rsidRPr="00C43868">
        <w:rPr>
          <w:lang w:val="fr-CA"/>
        </w:rPr>
        <w:t> :</w:t>
      </w:r>
    </w:p>
    <w:p w14:paraId="2293AE16" w14:textId="16C814F8" w:rsidR="00AD5C34" w:rsidRPr="00C43868" w:rsidRDefault="001744E1" w:rsidP="00576EE6">
      <w:pPr>
        <w:pStyle w:val="ListParagraph"/>
        <w:numPr>
          <w:ilvl w:val="0"/>
          <w:numId w:val="41"/>
        </w:numPr>
        <w:spacing w:after="120"/>
        <w:contextualSpacing w:val="0"/>
        <w:rPr>
          <w:lang w:val="fr-CA"/>
        </w:rPr>
      </w:pPr>
      <w:r w:rsidRPr="00C43868">
        <w:rPr>
          <w:lang w:val="fr-CA"/>
        </w:rPr>
        <w:t>a</w:t>
      </w:r>
      <w:r w:rsidR="00AD5C34" w:rsidRPr="00C43868">
        <w:rPr>
          <w:lang w:val="fr-CA"/>
        </w:rPr>
        <w:t xml:space="preserve">baisser le critère d’admissibilité variable et le seuil </w:t>
      </w:r>
      <w:r w:rsidR="00B75147" w:rsidRPr="00C43868">
        <w:rPr>
          <w:lang w:val="fr-CA"/>
        </w:rPr>
        <w:t xml:space="preserve">d’admissibilité </w:t>
      </w:r>
      <w:r w:rsidR="00AD5C34" w:rsidRPr="00C43868">
        <w:rPr>
          <w:lang w:val="fr-CA"/>
        </w:rPr>
        <w:t xml:space="preserve">à un niveau </w:t>
      </w:r>
      <w:r w:rsidR="00B75147">
        <w:rPr>
          <w:lang w:val="fr-CA"/>
        </w:rPr>
        <w:t xml:space="preserve">normalisé </w:t>
      </w:r>
      <w:r w:rsidR="00AD5C34" w:rsidRPr="00C43868">
        <w:rPr>
          <w:lang w:val="fr-CA"/>
        </w:rPr>
        <w:t>de 360 heures;</w:t>
      </w:r>
    </w:p>
    <w:p w14:paraId="168A3492" w14:textId="66E6AA8C" w:rsidR="00AD5C34" w:rsidRPr="00C43868" w:rsidRDefault="00B75147" w:rsidP="00576EE6">
      <w:pPr>
        <w:pStyle w:val="ListParagraph"/>
        <w:numPr>
          <w:ilvl w:val="0"/>
          <w:numId w:val="41"/>
        </w:numPr>
        <w:spacing w:after="120"/>
        <w:contextualSpacing w:val="0"/>
        <w:rPr>
          <w:lang w:val="fr-CA"/>
        </w:rPr>
      </w:pPr>
      <w:r>
        <w:rPr>
          <w:lang w:val="fr-CA"/>
        </w:rPr>
        <w:t>offrir</w:t>
      </w:r>
      <w:r w:rsidR="00AD5C34" w:rsidRPr="00C43868">
        <w:rPr>
          <w:lang w:val="fr-CA"/>
        </w:rPr>
        <w:t xml:space="preserve"> 50 semaines de prestations régulières d’assurance-emploi</w:t>
      </w:r>
      <w:r>
        <w:rPr>
          <w:lang w:val="fr-CA"/>
        </w:rPr>
        <w:t xml:space="preserve"> dans toutes les régions</w:t>
      </w:r>
      <w:r w:rsidR="00AD5C34" w:rsidRPr="00C43868">
        <w:rPr>
          <w:lang w:val="fr-CA"/>
        </w:rPr>
        <w:t>;</w:t>
      </w:r>
    </w:p>
    <w:p w14:paraId="4F0F8FD1" w14:textId="298183A2" w:rsidR="00AD5C34" w:rsidRPr="00C43868" w:rsidRDefault="001744E1" w:rsidP="00576EE6">
      <w:pPr>
        <w:pStyle w:val="ListParagraph"/>
        <w:numPr>
          <w:ilvl w:val="0"/>
          <w:numId w:val="41"/>
        </w:numPr>
        <w:spacing w:after="120"/>
        <w:contextualSpacing w:val="0"/>
        <w:rPr>
          <w:lang w:val="fr-CA"/>
        </w:rPr>
      </w:pPr>
      <w:r w:rsidRPr="00C43868">
        <w:rPr>
          <w:lang w:val="fr-CA"/>
        </w:rPr>
        <w:t>é</w:t>
      </w:r>
      <w:r w:rsidR="00AD5C34" w:rsidRPr="00C43868">
        <w:rPr>
          <w:lang w:val="fr-CA"/>
        </w:rPr>
        <w:t>liminer la limite de 50 semaines pour les prestations spéciales combinées et étendre la période de référence à 104 semaines;</w:t>
      </w:r>
    </w:p>
    <w:p w14:paraId="230D2968" w14:textId="304D9A64" w:rsidR="00AD5C34" w:rsidRPr="00C43868" w:rsidRDefault="001744E1" w:rsidP="00576EE6">
      <w:pPr>
        <w:pStyle w:val="ListParagraph"/>
        <w:numPr>
          <w:ilvl w:val="0"/>
          <w:numId w:val="41"/>
        </w:numPr>
        <w:spacing w:after="120"/>
        <w:contextualSpacing w:val="0"/>
        <w:rPr>
          <w:lang w:val="fr-CA"/>
        </w:rPr>
      </w:pPr>
      <w:r w:rsidRPr="00C43868">
        <w:rPr>
          <w:lang w:val="fr-CA"/>
        </w:rPr>
        <w:t>a</w:t>
      </w:r>
      <w:r w:rsidR="00AD5C34" w:rsidRPr="00C43868">
        <w:rPr>
          <w:lang w:val="fr-CA"/>
        </w:rPr>
        <w:t>ugmenter le taux de remplacement du revenu à 75 % de la rémunération antérieure et relever le plafond de la rémunération assurable.</w:t>
      </w:r>
    </w:p>
    <w:p w14:paraId="463DD468" w14:textId="29F74057" w:rsidR="00AD5C34" w:rsidRPr="00C43868" w:rsidRDefault="00AD5C34" w:rsidP="00AD5C34">
      <w:pPr>
        <w:pStyle w:val="Heading2"/>
        <w:numPr>
          <w:ilvl w:val="0"/>
          <w:numId w:val="31"/>
        </w:numPr>
        <w:rPr>
          <w:rFonts w:eastAsiaTheme="minorEastAsia"/>
          <w:lang w:val="fr-CA"/>
        </w:rPr>
      </w:pPr>
      <w:r w:rsidRPr="00C43868">
        <w:rPr>
          <w:rFonts w:eastAsiaTheme="minorEastAsia"/>
          <w:lang w:val="fr-CA"/>
        </w:rPr>
        <w:t>Investir dans les programmes d’adaptation de la main-d’œuvre</w:t>
      </w:r>
    </w:p>
    <w:p w14:paraId="4D0A8694" w14:textId="2C04F3D5" w:rsidR="00AD5C34" w:rsidRPr="00C43868" w:rsidRDefault="005F60D7" w:rsidP="00AD5C34">
      <w:pPr>
        <w:rPr>
          <w:lang w:val="fr-CA"/>
        </w:rPr>
      </w:pPr>
      <w:r w:rsidRPr="00C43868">
        <w:rPr>
          <w:lang w:val="fr-CA"/>
        </w:rPr>
        <w:t xml:space="preserve">Le financement des programmes fédéraux d’adaptation de la main-d’œuvre a permis à Unifor de soutenir avec succès les membres déplacés </w:t>
      </w:r>
      <w:r w:rsidR="00EB3D31">
        <w:rPr>
          <w:lang w:val="fr-CA"/>
        </w:rPr>
        <w:t xml:space="preserve">qui ont perdu leur emploi ou dont l’emploi a subi une </w:t>
      </w:r>
      <w:r w:rsidRPr="00C43868">
        <w:rPr>
          <w:lang w:val="fr-CA"/>
        </w:rPr>
        <w:t xml:space="preserve">transition. Alors que les transitions industrielles se poursuivent dans l’ensemble de l’économie, il est impératif que le gouvernement fournisse un financement continu pour de telles initiatives. </w:t>
      </w:r>
    </w:p>
    <w:p w14:paraId="27D9ABB7" w14:textId="77777777" w:rsidR="00AD5C34" w:rsidRPr="00C43868" w:rsidRDefault="00AD5C34" w:rsidP="00AD5C34">
      <w:pPr>
        <w:rPr>
          <w:lang w:val="fr-CA"/>
        </w:rPr>
      </w:pPr>
      <w:r w:rsidRPr="00C43868">
        <w:rPr>
          <w:lang w:val="fr-CA"/>
        </w:rPr>
        <w:lastRenderedPageBreak/>
        <w:t xml:space="preserve">Unifor recommande au gouvernement : </w:t>
      </w:r>
    </w:p>
    <w:p w14:paraId="4C0DA1FC" w14:textId="7E01BD85" w:rsidR="00AD5C34" w:rsidRPr="00C43868" w:rsidRDefault="001744E1" w:rsidP="00AD5C34">
      <w:pPr>
        <w:numPr>
          <w:ilvl w:val="0"/>
          <w:numId w:val="34"/>
        </w:numPr>
        <w:contextualSpacing/>
        <w:rPr>
          <w:lang w:val="fr-CA"/>
        </w:rPr>
      </w:pPr>
      <w:r w:rsidRPr="00C43868">
        <w:rPr>
          <w:lang w:val="fr-CA"/>
        </w:rPr>
        <w:t>d’e</w:t>
      </w:r>
      <w:r w:rsidR="00AD5C34" w:rsidRPr="00C43868">
        <w:rPr>
          <w:lang w:val="fr-CA"/>
        </w:rPr>
        <w:t xml:space="preserve">ncourager les provinces et les territoires à conclure des ententes dans le cadre des programmes consultatifs d’adaptation de la main-d’œuvre </w:t>
      </w:r>
      <w:r w:rsidR="00D417AC">
        <w:rPr>
          <w:lang w:val="fr-CA"/>
        </w:rPr>
        <w:t xml:space="preserve">lors de la fermeture de </w:t>
      </w:r>
      <w:r w:rsidR="00AD5C34" w:rsidRPr="00C43868">
        <w:rPr>
          <w:lang w:val="fr-CA"/>
        </w:rPr>
        <w:t>milieu</w:t>
      </w:r>
      <w:r w:rsidR="00D417AC">
        <w:rPr>
          <w:lang w:val="fr-CA"/>
        </w:rPr>
        <w:t>x</w:t>
      </w:r>
      <w:r w:rsidR="00AD5C34" w:rsidRPr="00C43868">
        <w:rPr>
          <w:lang w:val="fr-CA"/>
        </w:rPr>
        <w:t xml:space="preserve"> de travail</w:t>
      </w:r>
      <w:r w:rsidR="00D417AC">
        <w:rPr>
          <w:lang w:val="fr-CA"/>
        </w:rPr>
        <w:t>,</w:t>
      </w:r>
      <w:r w:rsidR="00AD5C34" w:rsidRPr="00C43868">
        <w:rPr>
          <w:lang w:val="fr-CA"/>
        </w:rPr>
        <w:t xml:space="preserve"> et augmenter le financement des </w:t>
      </w:r>
      <w:r w:rsidR="00D417AC">
        <w:rPr>
          <w:lang w:val="fr-CA"/>
        </w:rPr>
        <w:t>ententes sur le développement du marché du travail</w:t>
      </w:r>
      <w:r w:rsidR="00AD5C34" w:rsidRPr="00C43868">
        <w:rPr>
          <w:lang w:val="fr-CA"/>
        </w:rPr>
        <w:t>.</w:t>
      </w:r>
    </w:p>
    <w:p w14:paraId="1D72CF68" w14:textId="69415BFC" w:rsidR="00AD5C34" w:rsidRPr="00C43868" w:rsidRDefault="00AD5C34" w:rsidP="00AD5C34">
      <w:pPr>
        <w:pStyle w:val="Heading1"/>
        <w:rPr>
          <w:lang w:val="fr-CA"/>
        </w:rPr>
      </w:pPr>
      <w:r w:rsidRPr="00C43868">
        <w:rPr>
          <w:lang w:val="fr-CA"/>
        </w:rPr>
        <w:t xml:space="preserve">Investissements et </w:t>
      </w:r>
      <w:r w:rsidR="0054162B" w:rsidRPr="00C43868">
        <w:rPr>
          <w:lang w:val="fr-CA"/>
        </w:rPr>
        <w:t xml:space="preserve">mesures de </w:t>
      </w:r>
      <w:r w:rsidRPr="00C43868">
        <w:rPr>
          <w:lang w:val="fr-CA"/>
        </w:rPr>
        <w:t xml:space="preserve">soutien </w:t>
      </w:r>
      <w:r w:rsidR="00922B81">
        <w:rPr>
          <w:lang w:val="fr-CA"/>
        </w:rPr>
        <w:t>propres</w:t>
      </w:r>
      <w:r w:rsidRPr="00C43868">
        <w:rPr>
          <w:lang w:val="fr-CA"/>
        </w:rPr>
        <w:t xml:space="preserve"> à l’industrie</w:t>
      </w:r>
    </w:p>
    <w:p w14:paraId="63A5A468" w14:textId="77777777" w:rsidR="00AD5C34" w:rsidRPr="00C43868" w:rsidRDefault="00AD5C34" w:rsidP="001744E1">
      <w:pPr>
        <w:pStyle w:val="Heading2"/>
        <w:numPr>
          <w:ilvl w:val="0"/>
          <w:numId w:val="49"/>
        </w:numPr>
        <w:spacing w:before="240" w:line="240" w:lineRule="auto"/>
        <w:rPr>
          <w:rFonts w:eastAsiaTheme="minorEastAsia"/>
          <w:lang w:val="fr-CA"/>
        </w:rPr>
      </w:pPr>
      <w:r w:rsidRPr="00C43868">
        <w:rPr>
          <w:rFonts w:eastAsiaTheme="minorEastAsia"/>
          <w:lang w:val="fr-CA"/>
        </w:rPr>
        <w:t xml:space="preserve">Soutien continu à l’industrie automobile canadienne en transition </w:t>
      </w:r>
    </w:p>
    <w:p w14:paraId="64A102CB" w14:textId="782BF055" w:rsidR="00AD5C34" w:rsidRPr="00C43868" w:rsidRDefault="00AD5C34" w:rsidP="00576EE6">
      <w:pPr>
        <w:rPr>
          <w:lang w:val="fr-CA"/>
        </w:rPr>
      </w:pPr>
      <w:r w:rsidRPr="00C43868">
        <w:rPr>
          <w:lang w:val="fr-CA"/>
        </w:rPr>
        <w:t xml:space="preserve">Les investissements historiques réalisés dans la production de véhicules électriques et de batteries, ainsi que dans le traitement des matériaux de batteries, </w:t>
      </w:r>
      <w:r w:rsidR="001A3962">
        <w:rPr>
          <w:lang w:val="fr-CA"/>
        </w:rPr>
        <w:t xml:space="preserve">témoignent de </w:t>
      </w:r>
      <w:r w:rsidRPr="00C43868">
        <w:rPr>
          <w:lang w:val="fr-CA"/>
        </w:rPr>
        <w:t xml:space="preserve">l’importance </w:t>
      </w:r>
      <w:r w:rsidR="001A3962">
        <w:rPr>
          <w:lang w:val="fr-CA"/>
        </w:rPr>
        <w:t xml:space="preserve">pour le gouvernement d’élaborer </w:t>
      </w:r>
      <w:r w:rsidRPr="00C43868">
        <w:rPr>
          <w:lang w:val="fr-CA"/>
        </w:rPr>
        <w:t xml:space="preserve">une politique d’investissement active </w:t>
      </w:r>
      <w:r w:rsidR="001A3962">
        <w:rPr>
          <w:lang w:val="fr-CA"/>
        </w:rPr>
        <w:t xml:space="preserve">afin de </w:t>
      </w:r>
      <w:r w:rsidRPr="00C43868">
        <w:rPr>
          <w:lang w:val="fr-CA"/>
        </w:rPr>
        <w:t xml:space="preserve">développer l’industrie et </w:t>
      </w:r>
      <w:r w:rsidR="001A3962">
        <w:rPr>
          <w:lang w:val="fr-CA"/>
        </w:rPr>
        <w:t xml:space="preserve">de </w:t>
      </w:r>
      <w:r w:rsidRPr="00C43868">
        <w:rPr>
          <w:lang w:val="fr-CA"/>
        </w:rPr>
        <w:t xml:space="preserve">créer de bons emplois.  </w:t>
      </w:r>
    </w:p>
    <w:p w14:paraId="0FF51DDC" w14:textId="13514AF3" w:rsidR="00AD5C34" w:rsidRPr="00C43868" w:rsidRDefault="004C0470" w:rsidP="00576EE6">
      <w:pPr>
        <w:rPr>
          <w:lang w:val="fr-CA"/>
        </w:rPr>
      </w:pPr>
      <w:r w:rsidRPr="00C43868">
        <w:rPr>
          <w:lang w:val="fr-CA"/>
        </w:rPr>
        <w:t>Afin de poursuivre le développement de l’industrie automobile canadienne</w:t>
      </w:r>
      <w:r w:rsidR="001744E1" w:rsidRPr="00C43868">
        <w:rPr>
          <w:lang w:val="fr-CA"/>
        </w:rPr>
        <w:t xml:space="preserve"> et de</w:t>
      </w:r>
      <w:r w:rsidRPr="00C43868">
        <w:rPr>
          <w:lang w:val="fr-CA"/>
        </w:rPr>
        <w:t xml:space="preserve"> sa chaîne d’approvisionnement et </w:t>
      </w:r>
      <w:r w:rsidR="001744E1" w:rsidRPr="00C43868">
        <w:rPr>
          <w:lang w:val="fr-CA"/>
        </w:rPr>
        <w:t xml:space="preserve">de soutenir les </w:t>
      </w:r>
      <w:r w:rsidRPr="00C43868">
        <w:rPr>
          <w:lang w:val="fr-CA"/>
        </w:rPr>
        <w:t>travailleuses et travailleurs vulnérables, Unifor a présenté 29 recommandations</w:t>
      </w:r>
      <w:r w:rsidR="003B7DD1" w:rsidRPr="00C43868">
        <w:rPr>
          <w:rStyle w:val="FootnoteReference"/>
          <w:lang w:val="fr-CA"/>
        </w:rPr>
        <w:footnoteReference w:id="2"/>
      </w:r>
      <w:r w:rsidRPr="00C43868">
        <w:rPr>
          <w:lang w:val="fr-CA"/>
        </w:rPr>
        <w:t xml:space="preserve">. Pour faire avancer ses objectifs dans le budget 2024, Unifor recommande au gouvernement : </w:t>
      </w:r>
    </w:p>
    <w:p w14:paraId="63EC1379" w14:textId="7A33BDE0" w:rsidR="00AD5C34" w:rsidRPr="00C43868" w:rsidRDefault="001744E1" w:rsidP="00576EE6">
      <w:pPr>
        <w:pStyle w:val="ListParagraph"/>
        <w:numPr>
          <w:ilvl w:val="0"/>
          <w:numId w:val="40"/>
        </w:numPr>
        <w:spacing w:after="120"/>
        <w:contextualSpacing w:val="0"/>
        <w:rPr>
          <w:lang w:val="fr-CA"/>
        </w:rPr>
      </w:pPr>
      <w:r w:rsidRPr="00C43868">
        <w:rPr>
          <w:lang w:val="fr-CA"/>
        </w:rPr>
        <w:t>de r</w:t>
      </w:r>
      <w:r w:rsidR="004C0470" w:rsidRPr="00C43868">
        <w:rPr>
          <w:lang w:val="fr-CA"/>
        </w:rPr>
        <w:t>ecapitaliser et</w:t>
      </w:r>
      <w:r w:rsidRPr="00C43868">
        <w:rPr>
          <w:lang w:val="fr-CA"/>
        </w:rPr>
        <w:t xml:space="preserve"> de</w:t>
      </w:r>
      <w:r w:rsidR="004C0470" w:rsidRPr="00C43868">
        <w:rPr>
          <w:lang w:val="fr-CA"/>
        </w:rPr>
        <w:t xml:space="preserve"> réorienter le Fonds stratégique pour l’innovation afin de soutenir les investissements axés sur la transition dans la base d’approvisionnement en pièces automobiles du Canada;</w:t>
      </w:r>
    </w:p>
    <w:p w14:paraId="72B3FB72" w14:textId="6056B967" w:rsidR="00AD5C34" w:rsidRPr="00C43868" w:rsidRDefault="001744E1" w:rsidP="00576EE6">
      <w:pPr>
        <w:pStyle w:val="ListParagraph"/>
        <w:numPr>
          <w:ilvl w:val="0"/>
          <w:numId w:val="40"/>
        </w:numPr>
        <w:spacing w:after="120"/>
        <w:contextualSpacing w:val="0"/>
        <w:rPr>
          <w:lang w:val="fr-CA"/>
        </w:rPr>
      </w:pPr>
      <w:r w:rsidRPr="00C43868">
        <w:rPr>
          <w:lang w:val="fr-CA"/>
        </w:rPr>
        <w:t>d’é</w:t>
      </w:r>
      <w:r w:rsidR="00AD5C34" w:rsidRPr="00C43868">
        <w:rPr>
          <w:lang w:val="fr-CA"/>
        </w:rPr>
        <w:t>largir les incitatifs</w:t>
      </w:r>
      <w:r w:rsidR="00D438EA" w:rsidRPr="00D438EA">
        <w:rPr>
          <w:lang w:val="fr-CA"/>
        </w:rPr>
        <w:t xml:space="preserve"> </w:t>
      </w:r>
      <w:r w:rsidR="00D438EA" w:rsidRPr="00C43868">
        <w:rPr>
          <w:lang w:val="fr-CA"/>
        </w:rPr>
        <w:t>à 10 000 $</w:t>
      </w:r>
      <w:r w:rsidR="00AD5C34" w:rsidRPr="00C43868">
        <w:rPr>
          <w:lang w:val="fr-CA"/>
        </w:rPr>
        <w:t xml:space="preserve"> </w:t>
      </w:r>
      <w:r w:rsidR="00D438EA">
        <w:rPr>
          <w:lang w:val="fr-CA"/>
        </w:rPr>
        <w:t>pour</w:t>
      </w:r>
      <w:r w:rsidR="00AD5C34" w:rsidRPr="00C43868">
        <w:rPr>
          <w:lang w:val="fr-CA"/>
        </w:rPr>
        <w:t xml:space="preserve"> l’achat de véhicules zéro émission. </w:t>
      </w:r>
    </w:p>
    <w:p w14:paraId="3ACE6794" w14:textId="5EE750F4" w:rsidR="00AD5C34" w:rsidRPr="00C43868" w:rsidRDefault="00AD5C34" w:rsidP="001744E1">
      <w:pPr>
        <w:pStyle w:val="Heading2"/>
        <w:numPr>
          <w:ilvl w:val="0"/>
          <w:numId w:val="49"/>
        </w:numPr>
        <w:rPr>
          <w:rFonts w:eastAsia="Times New Roman"/>
          <w:lang w:val="fr-CA"/>
        </w:rPr>
      </w:pPr>
      <w:r w:rsidRPr="00C43868">
        <w:rPr>
          <w:rFonts w:eastAsia="Times New Roman"/>
          <w:lang w:val="fr-CA"/>
        </w:rPr>
        <w:t>Mines, métaux et minéraux</w:t>
      </w:r>
    </w:p>
    <w:p w14:paraId="1B686F9C" w14:textId="48F587A9" w:rsidR="00AD5C34" w:rsidRPr="00C43868" w:rsidRDefault="00AD5C34" w:rsidP="00AD5C34">
      <w:pPr>
        <w:spacing w:before="100" w:beforeAutospacing="1" w:after="100" w:afterAutospacing="1"/>
        <w:rPr>
          <w:rFonts w:eastAsia="Times New Roman" w:cs="Arial"/>
          <w:color w:val="000000"/>
          <w:lang w:val="fr-CA"/>
        </w:rPr>
      </w:pPr>
      <w:r w:rsidRPr="00C43868">
        <w:rPr>
          <w:rFonts w:eastAsia="Times New Roman" w:cs="Arial"/>
          <w:color w:val="000000"/>
          <w:lang w:val="fr-CA"/>
        </w:rPr>
        <w:t xml:space="preserve">L’adoption massive de véhicules à zéro émission exige un développement intense de l’industrie minière du Canada. Le gouvernement doit </w:t>
      </w:r>
      <w:r w:rsidR="00465AF7">
        <w:rPr>
          <w:rFonts w:eastAsia="Times New Roman" w:cs="Arial"/>
          <w:color w:val="000000"/>
          <w:lang w:val="fr-CA"/>
        </w:rPr>
        <w:t xml:space="preserve">veiller </w:t>
      </w:r>
      <w:r w:rsidRPr="00C43868">
        <w:rPr>
          <w:rFonts w:eastAsia="Times New Roman" w:cs="Arial"/>
          <w:color w:val="000000"/>
          <w:lang w:val="fr-CA"/>
        </w:rPr>
        <w:t xml:space="preserve">à ce que la demande </w:t>
      </w:r>
      <w:r w:rsidR="00465AF7">
        <w:rPr>
          <w:rFonts w:eastAsia="Times New Roman" w:cs="Arial"/>
          <w:color w:val="000000"/>
          <w:lang w:val="fr-CA"/>
        </w:rPr>
        <w:t xml:space="preserve">de </w:t>
      </w:r>
      <w:r w:rsidR="00E538F3" w:rsidRPr="00C43868">
        <w:rPr>
          <w:rFonts w:eastAsia="Times New Roman" w:cs="Arial"/>
          <w:color w:val="000000"/>
          <w:lang w:val="fr-CA"/>
        </w:rPr>
        <w:t xml:space="preserve">ressources naturelles du Canada </w:t>
      </w:r>
      <w:r w:rsidRPr="00C43868">
        <w:rPr>
          <w:rFonts w:eastAsia="Times New Roman" w:cs="Arial"/>
          <w:color w:val="000000"/>
          <w:lang w:val="fr-CA"/>
        </w:rPr>
        <w:t xml:space="preserve">soit satisfaite par des moyens respectueux de l’environnement. </w:t>
      </w:r>
    </w:p>
    <w:p w14:paraId="108E7B28" w14:textId="77777777" w:rsidR="00AD5C34" w:rsidRPr="00C43868" w:rsidRDefault="00AD5C34" w:rsidP="00AD5C34">
      <w:pPr>
        <w:spacing w:before="100" w:beforeAutospacing="1" w:after="100" w:afterAutospacing="1"/>
        <w:rPr>
          <w:rFonts w:eastAsia="Times New Roman" w:cs="Arial"/>
          <w:color w:val="000000"/>
          <w:lang w:val="fr-CA"/>
        </w:rPr>
      </w:pPr>
      <w:r w:rsidRPr="00C43868">
        <w:rPr>
          <w:rFonts w:eastAsia="Times New Roman" w:cs="Arial"/>
          <w:color w:val="000000"/>
          <w:lang w:val="fr-CA"/>
        </w:rPr>
        <w:t xml:space="preserve">Unifor recommande au gouvernement : </w:t>
      </w:r>
    </w:p>
    <w:p w14:paraId="45176BF2" w14:textId="79D44BD2" w:rsidR="00AD5C34" w:rsidRPr="00C43868" w:rsidRDefault="00E538F3" w:rsidP="00576EE6">
      <w:pPr>
        <w:pStyle w:val="ListParagraph"/>
        <w:numPr>
          <w:ilvl w:val="0"/>
          <w:numId w:val="39"/>
        </w:numPr>
        <w:spacing w:after="120"/>
        <w:contextualSpacing w:val="0"/>
        <w:rPr>
          <w:lang w:val="fr-CA"/>
        </w:rPr>
      </w:pPr>
      <w:r w:rsidRPr="00C43868">
        <w:rPr>
          <w:lang w:val="fr-CA"/>
        </w:rPr>
        <w:t xml:space="preserve">de fournir </w:t>
      </w:r>
      <w:r w:rsidR="003B7DD1" w:rsidRPr="00C43868">
        <w:rPr>
          <w:lang w:val="fr-CA"/>
        </w:rPr>
        <w:t>un financement direct pour soutenir l’adoption de sources d’énergie renouvelable pour les mines hors réseau;</w:t>
      </w:r>
    </w:p>
    <w:p w14:paraId="2E950885" w14:textId="32B57099" w:rsidR="00AD5C34" w:rsidRPr="00C43868" w:rsidRDefault="00E538F3" w:rsidP="00576EE6">
      <w:pPr>
        <w:pStyle w:val="ListParagraph"/>
        <w:numPr>
          <w:ilvl w:val="0"/>
          <w:numId w:val="39"/>
        </w:numPr>
        <w:spacing w:after="120"/>
        <w:contextualSpacing w:val="0"/>
        <w:rPr>
          <w:lang w:val="fr-CA"/>
        </w:rPr>
      </w:pPr>
      <w:r w:rsidRPr="00C43868">
        <w:rPr>
          <w:lang w:val="fr-CA"/>
        </w:rPr>
        <w:t>de financer</w:t>
      </w:r>
      <w:r w:rsidR="00AD5C34" w:rsidRPr="00C43868">
        <w:rPr>
          <w:lang w:val="fr-CA"/>
        </w:rPr>
        <w:t xml:space="preserve"> la recherche et le développement afin de déterminer la </w:t>
      </w:r>
      <w:r w:rsidR="005B70FA">
        <w:rPr>
          <w:lang w:val="fr-CA"/>
        </w:rPr>
        <w:t xml:space="preserve">viabilité </w:t>
      </w:r>
      <w:r w:rsidR="00AD5C34" w:rsidRPr="00C43868">
        <w:rPr>
          <w:lang w:val="fr-CA"/>
        </w:rPr>
        <w:t>de l’hydrogène et de la technologie des piles à combustible dans les mines; </w:t>
      </w:r>
    </w:p>
    <w:p w14:paraId="2674957C" w14:textId="18337A9E" w:rsidR="00AD5C34" w:rsidRPr="00C43868" w:rsidRDefault="00E538F3" w:rsidP="00576EE6">
      <w:pPr>
        <w:pStyle w:val="ListParagraph"/>
        <w:numPr>
          <w:ilvl w:val="0"/>
          <w:numId w:val="39"/>
        </w:numPr>
        <w:spacing w:after="120"/>
        <w:contextualSpacing w:val="0"/>
        <w:rPr>
          <w:lang w:val="fr-CA"/>
        </w:rPr>
      </w:pPr>
      <w:r w:rsidRPr="00C43868">
        <w:rPr>
          <w:lang w:val="fr-CA"/>
        </w:rPr>
        <w:lastRenderedPageBreak/>
        <w:t xml:space="preserve">de doubler </w:t>
      </w:r>
      <w:r w:rsidR="00AD5C34" w:rsidRPr="00C43868">
        <w:rPr>
          <w:lang w:val="fr-CA"/>
        </w:rPr>
        <w:t>le financement existant pour la recherche et le développement de petits réacteurs modulaires afin d’accélérer les études de faisabilité et le déploiement sur les sites miniers hors réseau</w:t>
      </w:r>
      <w:r w:rsidR="003B7DD1" w:rsidRPr="00C43868">
        <w:rPr>
          <w:rStyle w:val="FootnoteReference"/>
          <w:lang w:val="fr-CA"/>
        </w:rPr>
        <w:footnoteReference w:id="3"/>
      </w:r>
      <w:r w:rsidR="00AD5C34" w:rsidRPr="00C43868">
        <w:rPr>
          <w:lang w:val="fr-CA"/>
        </w:rPr>
        <w:t xml:space="preserve">. </w:t>
      </w:r>
    </w:p>
    <w:p w14:paraId="3FF99406" w14:textId="77777777" w:rsidR="00AD5C34" w:rsidRPr="00C43868" w:rsidRDefault="00AD5C34" w:rsidP="001744E1">
      <w:pPr>
        <w:pStyle w:val="Heading2"/>
        <w:numPr>
          <w:ilvl w:val="0"/>
          <w:numId w:val="49"/>
        </w:numPr>
        <w:spacing w:before="240" w:line="240" w:lineRule="auto"/>
        <w:rPr>
          <w:lang w:val="fr-CA"/>
        </w:rPr>
      </w:pPr>
      <w:r w:rsidRPr="00C43868">
        <w:rPr>
          <w:lang w:val="fr-CA"/>
        </w:rPr>
        <w:t>Énergie</w:t>
      </w:r>
    </w:p>
    <w:p w14:paraId="64B08B5D" w14:textId="27B73EB7" w:rsidR="00AD5C34" w:rsidRPr="00C43868" w:rsidRDefault="00AD5C34" w:rsidP="00AD5C34">
      <w:pPr>
        <w:rPr>
          <w:lang w:val="fr-CA"/>
        </w:rPr>
      </w:pPr>
      <w:r w:rsidRPr="00C43868">
        <w:rPr>
          <w:lang w:val="fr-CA"/>
        </w:rPr>
        <w:t>Le gouvernement a un rôle important à jouer dans l’orientation de la recherche et du développement en matière d’écologisation du secteur de l’énergie afin d’accroître l’activité industrielle et de faire</w:t>
      </w:r>
      <w:r w:rsidR="003626FB">
        <w:rPr>
          <w:lang w:val="fr-CA"/>
        </w:rPr>
        <w:t xml:space="preserve"> du</w:t>
      </w:r>
      <w:r w:rsidRPr="00C43868">
        <w:rPr>
          <w:lang w:val="fr-CA"/>
        </w:rPr>
        <w:t xml:space="preserve"> Canada un chef de file mondial de l’économie à faibles émissions de carbone.</w:t>
      </w:r>
    </w:p>
    <w:p w14:paraId="63DF4FD1" w14:textId="5528C328" w:rsidR="00AD5C34" w:rsidRPr="00C43868" w:rsidRDefault="00AD5C34" w:rsidP="00AD5C34">
      <w:pPr>
        <w:rPr>
          <w:lang w:val="fr-CA"/>
        </w:rPr>
      </w:pPr>
      <w:r w:rsidRPr="00C43868">
        <w:rPr>
          <w:lang w:val="fr-CA"/>
        </w:rPr>
        <w:t xml:space="preserve">Unifor recommande au gouvernement : </w:t>
      </w:r>
    </w:p>
    <w:p w14:paraId="0905E763" w14:textId="159F86F0" w:rsidR="00AD5C34" w:rsidRPr="00C43868" w:rsidRDefault="00043C17" w:rsidP="00576EE6">
      <w:pPr>
        <w:numPr>
          <w:ilvl w:val="0"/>
          <w:numId w:val="19"/>
        </w:numPr>
        <w:spacing w:after="120" w:line="240" w:lineRule="auto"/>
        <w:rPr>
          <w:rFonts w:eastAsia="Times New Roman" w:cs="Arial"/>
          <w:color w:val="000000"/>
          <w:lang w:val="fr-CA"/>
        </w:rPr>
      </w:pPr>
      <w:r>
        <w:rPr>
          <w:rFonts w:eastAsia="Times New Roman" w:cs="Arial"/>
          <w:color w:val="000000"/>
          <w:lang w:val="fr-CA"/>
        </w:rPr>
        <w:t>d’élaborer</w:t>
      </w:r>
      <w:r w:rsidR="00AD5C34" w:rsidRPr="00C43868">
        <w:rPr>
          <w:rFonts w:eastAsia="Times New Roman" w:cs="Arial"/>
          <w:color w:val="000000"/>
          <w:lang w:val="fr-CA"/>
        </w:rPr>
        <w:t xml:space="preserve"> une politique d’investissement dans le secteur de l’énergie qui soutien</w:t>
      </w:r>
      <w:r>
        <w:rPr>
          <w:rFonts w:eastAsia="Times New Roman" w:cs="Arial"/>
          <w:color w:val="000000"/>
          <w:lang w:val="fr-CA"/>
        </w:rPr>
        <w:t>t</w:t>
      </w:r>
      <w:r w:rsidR="00AD5C34" w:rsidRPr="00C43868">
        <w:rPr>
          <w:rFonts w:eastAsia="Times New Roman" w:cs="Arial"/>
          <w:color w:val="000000"/>
          <w:lang w:val="fr-CA"/>
        </w:rPr>
        <w:t xml:space="preserve"> les solutions énergétiques conçues au </w:t>
      </w:r>
      <w:r w:rsidR="00D271F9" w:rsidRPr="00C43868">
        <w:rPr>
          <w:rFonts w:eastAsia="Times New Roman" w:cs="Arial"/>
          <w:color w:val="000000"/>
          <w:lang w:val="fr-CA"/>
        </w:rPr>
        <w:t xml:space="preserve">Canada, </w:t>
      </w:r>
      <w:r w:rsidR="00C25EE7">
        <w:rPr>
          <w:rFonts w:eastAsia="Times New Roman" w:cs="Arial"/>
          <w:color w:val="000000"/>
          <w:lang w:val="fr-CA"/>
        </w:rPr>
        <w:t xml:space="preserve">notamment par </w:t>
      </w:r>
      <w:r w:rsidR="00AD5C34" w:rsidRPr="00C43868">
        <w:rPr>
          <w:rFonts w:eastAsia="Times New Roman" w:cs="Arial"/>
          <w:color w:val="000000"/>
          <w:lang w:val="fr-CA"/>
        </w:rPr>
        <w:t xml:space="preserve">des investissements dans le transport et le stockage de l’énergie qui limitent l’impact négatif sur le climat et répondent aux changements climatiques </w:t>
      </w:r>
      <w:r w:rsidR="00C25EE7">
        <w:rPr>
          <w:rFonts w:eastAsia="Times New Roman" w:cs="Arial"/>
          <w:color w:val="000000"/>
          <w:lang w:val="fr-CA"/>
        </w:rPr>
        <w:t>anticipés</w:t>
      </w:r>
      <w:r w:rsidR="00AD5C34" w:rsidRPr="00C43868">
        <w:rPr>
          <w:rFonts w:eastAsia="Times New Roman" w:cs="Arial"/>
          <w:color w:val="000000"/>
          <w:lang w:val="fr-CA"/>
        </w:rPr>
        <w:t xml:space="preserve"> au Canada;</w:t>
      </w:r>
    </w:p>
    <w:p w14:paraId="428A6801" w14:textId="7E0B0519" w:rsidR="00AD5C34" w:rsidRPr="00C43868" w:rsidRDefault="008237B4" w:rsidP="00576EE6">
      <w:pPr>
        <w:pStyle w:val="ListParagraph"/>
        <w:numPr>
          <w:ilvl w:val="0"/>
          <w:numId w:val="19"/>
        </w:numPr>
        <w:spacing w:after="120"/>
        <w:contextualSpacing w:val="0"/>
        <w:rPr>
          <w:lang w:val="fr-CA"/>
        </w:rPr>
      </w:pPr>
      <w:r w:rsidRPr="00C43868">
        <w:rPr>
          <w:lang w:val="fr-CA"/>
        </w:rPr>
        <w:t>de s</w:t>
      </w:r>
      <w:r w:rsidR="00AD5C34" w:rsidRPr="00C43868">
        <w:rPr>
          <w:lang w:val="fr-CA"/>
        </w:rPr>
        <w:t xml:space="preserve">outenir la production, le transport, le stockage et l’infrastructure de transition nécessaires pour utiliser l’hydrogène dans l’écologisation de l’acier, du béton et d’autres industries à forte </w:t>
      </w:r>
      <w:r w:rsidR="0059120A">
        <w:rPr>
          <w:lang w:val="fr-CA"/>
        </w:rPr>
        <w:t>teneur en</w:t>
      </w:r>
      <w:r w:rsidR="00AD5C34" w:rsidRPr="00C43868">
        <w:rPr>
          <w:lang w:val="fr-CA"/>
        </w:rPr>
        <w:t xml:space="preserve"> méthane et </w:t>
      </w:r>
      <w:r w:rsidR="0059120A">
        <w:rPr>
          <w:lang w:val="fr-CA"/>
        </w:rPr>
        <w:t xml:space="preserve">en </w:t>
      </w:r>
      <w:r w:rsidR="00AD5C34" w:rsidRPr="00C43868">
        <w:rPr>
          <w:lang w:val="fr-CA"/>
        </w:rPr>
        <w:t>carbone. Les politiques doivent prévoir une expansion massive des infrastructures de production d’hydrogène et d’électricité à faible teneur en carbone.</w:t>
      </w:r>
    </w:p>
    <w:p w14:paraId="093BF357" w14:textId="7044F86E" w:rsidR="001F2EB5" w:rsidRPr="00C43868" w:rsidRDefault="001F2EB5" w:rsidP="001744E1">
      <w:pPr>
        <w:pStyle w:val="Heading2"/>
        <w:numPr>
          <w:ilvl w:val="0"/>
          <w:numId w:val="49"/>
        </w:numPr>
        <w:spacing w:before="240" w:line="240" w:lineRule="auto"/>
        <w:rPr>
          <w:rFonts w:eastAsiaTheme="minorEastAsia"/>
          <w:lang w:val="fr-CA"/>
        </w:rPr>
      </w:pPr>
      <w:r w:rsidRPr="00C43868">
        <w:rPr>
          <w:rFonts w:eastAsiaTheme="minorEastAsia"/>
          <w:lang w:val="fr-CA"/>
        </w:rPr>
        <w:t xml:space="preserve">Protéger les travailleuses et travailleurs </w:t>
      </w:r>
      <w:r w:rsidR="00771787">
        <w:rPr>
          <w:rFonts w:eastAsiaTheme="minorEastAsia"/>
          <w:lang w:val="fr-CA"/>
        </w:rPr>
        <w:t>forestiers</w:t>
      </w:r>
      <w:r w:rsidRPr="00C43868">
        <w:rPr>
          <w:rFonts w:eastAsiaTheme="minorEastAsia"/>
          <w:lang w:val="fr-CA"/>
        </w:rPr>
        <w:t xml:space="preserve"> et revitaliser le secteur</w:t>
      </w:r>
    </w:p>
    <w:p w14:paraId="5BF3098D" w14:textId="0D2D17CE" w:rsidR="001F2EB5" w:rsidRPr="00C43868" w:rsidRDefault="001F2EB5" w:rsidP="00576EE6">
      <w:pPr>
        <w:rPr>
          <w:lang w:val="fr-CA"/>
        </w:rPr>
      </w:pPr>
      <w:r w:rsidRPr="00C43868">
        <w:rPr>
          <w:lang w:val="fr-CA"/>
        </w:rPr>
        <w:t xml:space="preserve">Les efforts visant à accroître la conservation des forêts anciennes, à protéger l’habitat de la faune sauvage et à gérer des saisons marquées par </w:t>
      </w:r>
      <w:r w:rsidR="004768F1">
        <w:rPr>
          <w:lang w:val="fr-CA"/>
        </w:rPr>
        <w:t>un nombre croissant</w:t>
      </w:r>
      <w:r w:rsidRPr="00C43868">
        <w:rPr>
          <w:lang w:val="fr-CA"/>
        </w:rPr>
        <w:t xml:space="preserve"> de feux de forêt continueront </w:t>
      </w:r>
      <w:r w:rsidR="004768F1">
        <w:rPr>
          <w:lang w:val="fr-CA"/>
        </w:rPr>
        <w:t xml:space="preserve">à </w:t>
      </w:r>
      <w:r w:rsidRPr="00C43868">
        <w:rPr>
          <w:lang w:val="fr-CA"/>
        </w:rPr>
        <w:t xml:space="preserve">avoir un effet sur le secteur forestier du Canada. </w:t>
      </w:r>
    </w:p>
    <w:p w14:paraId="15C241DD" w14:textId="77777777" w:rsidR="001F2EB5" w:rsidRPr="00C43868" w:rsidRDefault="001F2EB5" w:rsidP="00576EE6">
      <w:pPr>
        <w:rPr>
          <w:lang w:val="fr-CA"/>
        </w:rPr>
      </w:pPr>
      <w:r w:rsidRPr="00C43868">
        <w:rPr>
          <w:lang w:val="fr-CA"/>
        </w:rPr>
        <w:t>Unifor recommande au gouvernement :</w:t>
      </w:r>
    </w:p>
    <w:p w14:paraId="58657461" w14:textId="771A1EBF" w:rsidR="001F2EB5" w:rsidRPr="00C43868" w:rsidRDefault="00043C17" w:rsidP="00576EE6">
      <w:pPr>
        <w:pStyle w:val="ListParagraph"/>
        <w:numPr>
          <w:ilvl w:val="0"/>
          <w:numId w:val="28"/>
        </w:numPr>
        <w:spacing w:after="120"/>
        <w:contextualSpacing w:val="0"/>
        <w:rPr>
          <w:lang w:val="fr-CA"/>
        </w:rPr>
      </w:pPr>
      <w:r>
        <w:rPr>
          <w:lang w:val="fr-CA"/>
        </w:rPr>
        <w:t>d’élaborer</w:t>
      </w:r>
      <w:r w:rsidR="001F2EB5" w:rsidRPr="00C43868">
        <w:rPr>
          <w:lang w:val="fr-CA"/>
        </w:rPr>
        <w:t xml:space="preserve"> une stratégie industrielle nationale pour le secteur forestier, </w:t>
      </w:r>
      <w:r w:rsidR="00475E37">
        <w:rPr>
          <w:lang w:val="fr-CA"/>
        </w:rPr>
        <w:t xml:space="preserve">fondée </w:t>
      </w:r>
      <w:r w:rsidR="001F2EB5" w:rsidRPr="00C43868">
        <w:rPr>
          <w:lang w:val="fr-CA"/>
        </w:rPr>
        <w:t xml:space="preserve">sur un engagement de durabilité, de conservation et de justice pour les communautés autochtones; </w:t>
      </w:r>
    </w:p>
    <w:p w14:paraId="472E96D0" w14:textId="37481BB7" w:rsidR="001F2EB5" w:rsidRPr="00C43868" w:rsidRDefault="001D7BFE" w:rsidP="00576EE6">
      <w:pPr>
        <w:pStyle w:val="ListParagraph"/>
        <w:numPr>
          <w:ilvl w:val="0"/>
          <w:numId w:val="28"/>
        </w:numPr>
        <w:spacing w:after="120"/>
        <w:contextualSpacing w:val="0"/>
        <w:rPr>
          <w:lang w:val="fr-CA"/>
        </w:rPr>
      </w:pPr>
      <w:r w:rsidRPr="00C43868">
        <w:rPr>
          <w:lang w:val="fr-CA"/>
        </w:rPr>
        <w:t>d’é</w:t>
      </w:r>
      <w:r w:rsidR="001F2EB5" w:rsidRPr="00C43868">
        <w:rPr>
          <w:lang w:val="fr-CA"/>
        </w:rPr>
        <w:t xml:space="preserve">laborer un </w:t>
      </w:r>
      <w:r w:rsidRPr="00C43868">
        <w:rPr>
          <w:lang w:val="fr-CA"/>
        </w:rPr>
        <w:t xml:space="preserve">cadre d’orientation sur la </w:t>
      </w:r>
      <w:r w:rsidR="001F2EB5" w:rsidRPr="00C43868">
        <w:rPr>
          <w:lang w:val="fr-CA"/>
        </w:rPr>
        <w:t xml:space="preserve">transition juste </w:t>
      </w:r>
      <w:r w:rsidRPr="00C43868">
        <w:rPr>
          <w:lang w:val="fr-CA"/>
        </w:rPr>
        <w:t xml:space="preserve">en vue de </w:t>
      </w:r>
      <w:r w:rsidR="001F2EB5" w:rsidRPr="00C43868">
        <w:rPr>
          <w:lang w:val="fr-CA"/>
        </w:rPr>
        <w:t>la transformation continue du secteur forestier canadien, de ses travailleuses et travailleurs et des communautés qui dépendent de ce secteur;</w:t>
      </w:r>
    </w:p>
    <w:p w14:paraId="44E1C6A4" w14:textId="044E1E3E" w:rsidR="0054162B" w:rsidRPr="00C43868" w:rsidRDefault="00475E37" w:rsidP="0087075B">
      <w:pPr>
        <w:pStyle w:val="ListParagraph"/>
        <w:numPr>
          <w:ilvl w:val="0"/>
          <w:numId w:val="28"/>
        </w:numPr>
        <w:spacing w:after="120"/>
        <w:contextualSpacing w:val="0"/>
        <w:rPr>
          <w:lang w:val="fr-CA"/>
        </w:rPr>
      </w:pPr>
      <w:r>
        <w:rPr>
          <w:lang w:val="fr-CA"/>
        </w:rPr>
        <w:t>o</w:t>
      </w:r>
      <w:r w:rsidR="001F2EB5" w:rsidRPr="00C43868">
        <w:rPr>
          <w:lang w:val="fr-CA"/>
        </w:rPr>
        <w:t xml:space="preserve">rienter </w:t>
      </w:r>
      <w:r w:rsidR="0054162B" w:rsidRPr="00C43868">
        <w:rPr>
          <w:lang w:val="fr-CA"/>
        </w:rPr>
        <w:t>le financement gouvernemental</w:t>
      </w:r>
      <w:r w:rsidR="001F2EB5" w:rsidRPr="00C43868">
        <w:rPr>
          <w:lang w:val="fr-CA"/>
        </w:rPr>
        <w:t xml:space="preserve"> </w:t>
      </w:r>
      <w:r w:rsidR="007F4866">
        <w:rPr>
          <w:lang w:val="fr-CA"/>
        </w:rPr>
        <w:t xml:space="preserve">pour soutenir les </w:t>
      </w:r>
      <w:r w:rsidR="001F2EB5" w:rsidRPr="00C43868">
        <w:rPr>
          <w:lang w:val="fr-CA"/>
        </w:rPr>
        <w:t xml:space="preserve">travailleuses et travailleurs </w:t>
      </w:r>
      <w:r w:rsidR="007F4866">
        <w:rPr>
          <w:lang w:val="fr-CA"/>
        </w:rPr>
        <w:t xml:space="preserve">forestiers </w:t>
      </w:r>
      <w:r w:rsidR="001F2EB5" w:rsidRPr="00C43868">
        <w:rPr>
          <w:lang w:val="fr-CA"/>
        </w:rPr>
        <w:t xml:space="preserve">touchés par les incendies de forêt </w:t>
      </w:r>
      <w:r w:rsidR="009421D6">
        <w:rPr>
          <w:lang w:val="fr-CA"/>
        </w:rPr>
        <w:t>en</w:t>
      </w:r>
      <w:r w:rsidR="001F2EB5" w:rsidRPr="00C43868">
        <w:rPr>
          <w:lang w:val="fr-CA"/>
        </w:rPr>
        <w:t xml:space="preserve"> 2023 et </w:t>
      </w:r>
      <w:r w:rsidR="0054162B" w:rsidRPr="00C43868">
        <w:rPr>
          <w:lang w:val="fr-CA"/>
        </w:rPr>
        <w:t xml:space="preserve">aider les agences canadiennes de gestion des incendies de forêt </w:t>
      </w:r>
      <w:r w:rsidR="001D7BFE" w:rsidRPr="00C43868">
        <w:rPr>
          <w:lang w:val="fr-CA"/>
        </w:rPr>
        <w:t xml:space="preserve">à attirer et </w:t>
      </w:r>
      <w:r w:rsidR="00D01E22">
        <w:rPr>
          <w:lang w:val="fr-CA"/>
        </w:rPr>
        <w:t xml:space="preserve">à </w:t>
      </w:r>
      <w:r w:rsidR="001D7BFE" w:rsidRPr="00C43868">
        <w:rPr>
          <w:lang w:val="fr-CA"/>
        </w:rPr>
        <w:t>retenir le personnel qualifié grâce à des conditions de travail et à des salaires adéquats.</w:t>
      </w:r>
      <w:r w:rsidR="001F2EB5" w:rsidRPr="00C43868">
        <w:rPr>
          <w:lang w:val="fr-CA"/>
        </w:rPr>
        <w:t xml:space="preserve"> </w:t>
      </w:r>
    </w:p>
    <w:p w14:paraId="099BE358" w14:textId="533CDFF4" w:rsidR="001F2EB5" w:rsidRPr="00C43868" w:rsidRDefault="001F2EB5" w:rsidP="001744E1">
      <w:pPr>
        <w:pStyle w:val="Heading2"/>
        <w:numPr>
          <w:ilvl w:val="0"/>
          <w:numId w:val="49"/>
        </w:numPr>
        <w:spacing w:before="240" w:line="240" w:lineRule="auto"/>
        <w:rPr>
          <w:lang w:val="fr-CA"/>
        </w:rPr>
      </w:pPr>
      <w:r w:rsidRPr="00C43868">
        <w:rPr>
          <w:lang w:val="fr-CA"/>
        </w:rPr>
        <w:lastRenderedPageBreak/>
        <w:t xml:space="preserve">Créer une stratégie nationale </w:t>
      </w:r>
      <w:r w:rsidR="002D2963">
        <w:rPr>
          <w:lang w:val="fr-CA"/>
        </w:rPr>
        <w:t>de</w:t>
      </w:r>
      <w:r w:rsidRPr="00C43868">
        <w:rPr>
          <w:lang w:val="fr-CA"/>
        </w:rPr>
        <w:t xml:space="preserve"> transport en commun</w:t>
      </w:r>
    </w:p>
    <w:p w14:paraId="3C6D5D84" w14:textId="74CD9525" w:rsidR="001F2EB5" w:rsidRPr="00C43868" w:rsidRDefault="001F2EB5" w:rsidP="00576EE6">
      <w:pPr>
        <w:rPr>
          <w:lang w:val="fr-CA"/>
        </w:rPr>
      </w:pPr>
      <w:r w:rsidRPr="00C43868">
        <w:rPr>
          <w:lang w:val="fr-CA"/>
        </w:rPr>
        <w:t xml:space="preserve">Les réseaux locaux de transport en commun sont vulnérables face à la réduction des services et à la privatisation lorsque les opérations dépendent fortement des recettes de tarification. Le fonds permanent pour le transport en commun de 3 milliards de dollars du gouvernement fédéral est encourageant. Cependant, ce financement </w:t>
      </w:r>
      <w:r w:rsidR="007116AA">
        <w:rPr>
          <w:lang w:val="fr-CA"/>
        </w:rPr>
        <w:t>n’est pas suffisant. I</w:t>
      </w:r>
      <w:r w:rsidRPr="00C43868">
        <w:rPr>
          <w:lang w:val="fr-CA"/>
        </w:rPr>
        <w:t xml:space="preserve">l faudra attendre trois ans pour qu’il soit mis en œuvre </w:t>
      </w:r>
      <w:r w:rsidR="00CB027A" w:rsidRPr="00C43868">
        <w:rPr>
          <w:lang w:val="fr-CA"/>
        </w:rPr>
        <w:t xml:space="preserve">alors qu’il existe </w:t>
      </w:r>
      <w:r w:rsidRPr="00C43868">
        <w:rPr>
          <w:lang w:val="fr-CA"/>
        </w:rPr>
        <w:t>d’importants défis opérationnels</w:t>
      </w:r>
      <w:r w:rsidR="00CB027A" w:rsidRPr="00C43868">
        <w:rPr>
          <w:lang w:val="fr-CA"/>
        </w:rPr>
        <w:t xml:space="preserve"> aujourd’hui.</w:t>
      </w:r>
    </w:p>
    <w:p w14:paraId="4AA973C9" w14:textId="77777777" w:rsidR="001F2EB5" w:rsidRPr="00C43868" w:rsidRDefault="001F2EB5" w:rsidP="00576EE6">
      <w:pPr>
        <w:rPr>
          <w:lang w:val="fr-CA"/>
        </w:rPr>
      </w:pPr>
      <w:r w:rsidRPr="00C43868">
        <w:rPr>
          <w:lang w:val="fr-CA"/>
        </w:rPr>
        <w:t>Unifor recommande au gouvernement :</w:t>
      </w:r>
    </w:p>
    <w:p w14:paraId="097A169C" w14:textId="0D070C7B" w:rsidR="00AF066A" w:rsidRPr="00C43868" w:rsidRDefault="005C4938" w:rsidP="00AF066A">
      <w:pPr>
        <w:pStyle w:val="ListParagraph"/>
        <w:numPr>
          <w:ilvl w:val="0"/>
          <w:numId w:val="42"/>
        </w:numPr>
        <w:spacing w:after="120"/>
        <w:contextualSpacing w:val="0"/>
        <w:rPr>
          <w:lang w:val="fr-CA"/>
        </w:rPr>
      </w:pPr>
      <w:r w:rsidRPr="00C43868">
        <w:rPr>
          <w:lang w:val="fr-CA"/>
        </w:rPr>
        <w:t>d’a</w:t>
      </w:r>
      <w:r w:rsidR="00AF066A" w:rsidRPr="00C43868">
        <w:rPr>
          <w:lang w:val="fr-CA"/>
        </w:rPr>
        <w:t xml:space="preserve">ccélérer le calendrier de mise en œuvre du Fonds pour le transport en commun et </w:t>
      </w:r>
      <w:r w:rsidRPr="00C43868">
        <w:rPr>
          <w:lang w:val="fr-CA"/>
        </w:rPr>
        <w:t>d’</w:t>
      </w:r>
      <w:r w:rsidR="00AF066A" w:rsidRPr="00C43868">
        <w:rPr>
          <w:lang w:val="fr-CA"/>
        </w:rPr>
        <w:t>assurer la flexibilité du financement pour soutenir à la fois l’infrastructure et les opérations d</w:t>
      </w:r>
      <w:r w:rsidR="00052CCE">
        <w:rPr>
          <w:lang w:val="fr-CA"/>
        </w:rPr>
        <w:t>e</w:t>
      </w:r>
      <w:r w:rsidR="00AF066A" w:rsidRPr="00C43868">
        <w:rPr>
          <w:lang w:val="fr-CA"/>
        </w:rPr>
        <w:t xml:space="preserve"> transport en commun;</w:t>
      </w:r>
    </w:p>
    <w:p w14:paraId="4764B6A3" w14:textId="48791F4F" w:rsidR="009E1EC6" w:rsidRPr="00C43868" w:rsidRDefault="005C4938" w:rsidP="00AF066A">
      <w:pPr>
        <w:pStyle w:val="ListParagraph"/>
        <w:numPr>
          <w:ilvl w:val="0"/>
          <w:numId w:val="42"/>
        </w:numPr>
        <w:spacing w:after="120"/>
        <w:contextualSpacing w:val="0"/>
        <w:rPr>
          <w:lang w:val="fr-CA"/>
        </w:rPr>
      </w:pPr>
      <w:r w:rsidRPr="00C43868">
        <w:rPr>
          <w:lang w:val="fr-CA"/>
        </w:rPr>
        <w:t>de m</w:t>
      </w:r>
      <w:r w:rsidR="009E1EC6" w:rsidRPr="00C43868">
        <w:rPr>
          <w:lang w:val="fr-CA"/>
        </w:rPr>
        <w:t>aximiser le contenu canadien dans l’achat de véhicules de transport en commun;</w:t>
      </w:r>
    </w:p>
    <w:p w14:paraId="20E11FB6" w14:textId="4F94B169" w:rsidR="001F2EB5" w:rsidRPr="00C43868" w:rsidRDefault="005C4938" w:rsidP="009E1EC6">
      <w:pPr>
        <w:pStyle w:val="ListParagraph"/>
        <w:numPr>
          <w:ilvl w:val="0"/>
          <w:numId w:val="42"/>
        </w:numPr>
        <w:spacing w:after="120"/>
        <w:contextualSpacing w:val="0"/>
        <w:rPr>
          <w:lang w:val="fr-CA"/>
        </w:rPr>
      </w:pPr>
      <w:r w:rsidRPr="00C43868">
        <w:rPr>
          <w:lang w:val="fr-CA"/>
        </w:rPr>
        <w:t>de c</w:t>
      </w:r>
      <w:r w:rsidR="001F2EB5" w:rsidRPr="00C43868">
        <w:rPr>
          <w:lang w:val="fr-CA"/>
        </w:rPr>
        <w:t xml:space="preserve">oncevoir et </w:t>
      </w:r>
      <w:r w:rsidRPr="00C43868">
        <w:rPr>
          <w:lang w:val="fr-CA"/>
        </w:rPr>
        <w:t xml:space="preserve">de </w:t>
      </w:r>
      <w:r w:rsidR="001F2EB5" w:rsidRPr="00C43868">
        <w:rPr>
          <w:lang w:val="fr-CA"/>
        </w:rPr>
        <w:t>mettre en œuvre une stratégie nationale de transport en commun</w:t>
      </w:r>
      <w:r w:rsidR="004A1CC9" w:rsidRPr="00C43868">
        <w:rPr>
          <w:rStyle w:val="FootnoteReference"/>
          <w:lang w:val="fr-CA"/>
        </w:rPr>
        <w:footnoteReference w:id="4"/>
      </w:r>
      <w:r w:rsidR="001F2EB5" w:rsidRPr="00C43868">
        <w:rPr>
          <w:lang w:val="fr-CA"/>
        </w:rPr>
        <w:t xml:space="preserve"> pour </w:t>
      </w:r>
      <w:r w:rsidR="00BF7384">
        <w:rPr>
          <w:lang w:val="fr-CA"/>
        </w:rPr>
        <w:t>bâtir</w:t>
      </w:r>
      <w:r w:rsidR="001F2EB5" w:rsidRPr="00C43868">
        <w:rPr>
          <w:lang w:val="fr-CA"/>
        </w:rPr>
        <w:t xml:space="preserve"> et maintenir un </w:t>
      </w:r>
      <w:r w:rsidR="00BF7384">
        <w:rPr>
          <w:lang w:val="fr-CA"/>
        </w:rPr>
        <w:t xml:space="preserve">réseau de </w:t>
      </w:r>
      <w:r w:rsidR="001F2EB5" w:rsidRPr="00C43868">
        <w:rPr>
          <w:lang w:val="fr-CA"/>
        </w:rPr>
        <w:t>transport en commun abordable et accessible.</w:t>
      </w:r>
    </w:p>
    <w:p w14:paraId="778A43B5" w14:textId="341B6E8A" w:rsidR="001F2EB5" w:rsidRPr="00C43868" w:rsidRDefault="001F2EB5" w:rsidP="001744E1">
      <w:pPr>
        <w:pStyle w:val="Heading2"/>
        <w:numPr>
          <w:ilvl w:val="0"/>
          <w:numId w:val="49"/>
        </w:numPr>
        <w:spacing w:before="240" w:line="240" w:lineRule="auto"/>
        <w:rPr>
          <w:lang w:val="fr-CA"/>
        </w:rPr>
      </w:pPr>
      <w:r w:rsidRPr="00C43868">
        <w:rPr>
          <w:lang w:val="fr-CA"/>
        </w:rPr>
        <w:t>Investir dans le transport ferroviaire public de passagers</w:t>
      </w:r>
    </w:p>
    <w:p w14:paraId="59A3A3E7" w14:textId="3D94FEE5" w:rsidR="001F2EB5" w:rsidRPr="00C43868" w:rsidRDefault="00D26E49" w:rsidP="00576EE6">
      <w:pPr>
        <w:rPr>
          <w:lang w:val="fr-CA"/>
        </w:rPr>
      </w:pPr>
      <w:r w:rsidRPr="00C43868">
        <w:rPr>
          <w:lang w:val="fr-CA"/>
        </w:rPr>
        <w:t xml:space="preserve">Le projet de train à grande fréquence de VIA Rail entre Québec et Toronto se fait attendre depuis longtemps. Cependant, Unifor </w:t>
      </w:r>
      <w:r w:rsidR="00065696">
        <w:rPr>
          <w:lang w:val="fr-CA"/>
        </w:rPr>
        <w:t xml:space="preserve">craint que </w:t>
      </w:r>
      <w:r w:rsidRPr="00C43868">
        <w:rPr>
          <w:lang w:val="fr-CA"/>
        </w:rPr>
        <w:t xml:space="preserve">le gouvernement </w:t>
      </w:r>
      <w:r w:rsidR="00065696">
        <w:rPr>
          <w:lang w:val="fr-CA"/>
        </w:rPr>
        <w:t xml:space="preserve">ne </w:t>
      </w:r>
      <w:r w:rsidRPr="00C43868">
        <w:rPr>
          <w:lang w:val="fr-CA"/>
        </w:rPr>
        <w:t xml:space="preserve">s’engage dans un modèle de </w:t>
      </w:r>
      <w:r w:rsidR="00065696">
        <w:rPr>
          <w:lang w:val="fr-CA"/>
        </w:rPr>
        <w:t xml:space="preserve">partenariat public-privé </w:t>
      </w:r>
      <w:r w:rsidRPr="00C43868">
        <w:rPr>
          <w:lang w:val="fr-CA"/>
        </w:rPr>
        <w:t xml:space="preserve">qui privatisera l’exploitation du corridor et entraînera </w:t>
      </w:r>
      <w:r w:rsidR="00D63EAF">
        <w:rPr>
          <w:lang w:val="fr-CA"/>
        </w:rPr>
        <w:t>une hausse des</w:t>
      </w:r>
      <w:r w:rsidRPr="00C43868">
        <w:rPr>
          <w:lang w:val="fr-CA"/>
        </w:rPr>
        <w:t xml:space="preserve"> coûts et </w:t>
      </w:r>
      <w:r w:rsidR="00D63EAF">
        <w:rPr>
          <w:lang w:val="fr-CA"/>
        </w:rPr>
        <w:t xml:space="preserve">une baisse de la qualité du </w:t>
      </w:r>
      <w:r w:rsidRPr="00C43868">
        <w:rPr>
          <w:lang w:val="fr-CA"/>
        </w:rPr>
        <w:t xml:space="preserve">service. Il est essentiel que le gouvernement garantisse l’accès à des services de transport abordables et accessibles partout au Canada. </w:t>
      </w:r>
    </w:p>
    <w:p w14:paraId="75D3CDB3" w14:textId="77777777" w:rsidR="001F2EB5" w:rsidRPr="00C43868" w:rsidRDefault="001F2EB5" w:rsidP="00576EE6">
      <w:pPr>
        <w:rPr>
          <w:lang w:val="fr-CA"/>
        </w:rPr>
      </w:pPr>
      <w:r w:rsidRPr="00C43868">
        <w:rPr>
          <w:lang w:val="fr-CA"/>
        </w:rPr>
        <w:t xml:space="preserve">Unifor recommande au gouvernement : </w:t>
      </w:r>
    </w:p>
    <w:p w14:paraId="598744BC" w14:textId="433C82BF" w:rsidR="001F2EB5" w:rsidRPr="00C43868" w:rsidRDefault="009F352A" w:rsidP="00576EE6">
      <w:pPr>
        <w:pStyle w:val="ListParagraph"/>
        <w:numPr>
          <w:ilvl w:val="0"/>
          <w:numId w:val="43"/>
        </w:numPr>
        <w:spacing w:after="120"/>
        <w:contextualSpacing w:val="0"/>
        <w:rPr>
          <w:lang w:val="fr-CA"/>
        </w:rPr>
      </w:pPr>
      <w:r w:rsidRPr="00C43868">
        <w:rPr>
          <w:lang w:val="fr-CA"/>
        </w:rPr>
        <w:t>de m</w:t>
      </w:r>
      <w:r w:rsidR="001F2EB5" w:rsidRPr="00C43868">
        <w:rPr>
          <w:lang w:val="fr-CA"/>
        </w:rPr>
        <w:t xml:space="preserve">aintenir le caractère public de VIA Rail et </w:t>
      </w:r>
      <w:r w:rsidRPr="00C43868">
        <w:rPr>
          <w:lang w:val="fr-CA"/>
        </w:rPr>
        <w:t xml:space="preserve">de </w:t>
      </w:r>
      <w:r w:rsidR="001F2EB5" w:rsidRPr="00C43868">
        <w:rPr>
          <w:lang w:val="fr-CA"/>
        </w:rPr>
        <w:t xml:space="preserve">mettre fin aux tentatives de privatisation des services </w:t>
      </w:r>
      <w:r w:rsidR="00D63EAF">
        <w:rPr>
          <w:lang w:val="fr-CA"/>
        </w:rPr>
        <w:t xml:space="preserve">de transport </w:t>
      </w:r>
      <w:r w:rsidR="001F2EB5" w:rsidRPr="00C43868">
        <w:rPr>
          <w:lang w:val="fr-CA"/>
        </w:rPr>
        <w:t>ferroviaire de passagers;</w:t>
      </w:r>
    </w:p>
    <w:p w14:paraId="3564D21D" w14:textId="0D8623E6" w:rsidR="001F2EB5" w:rsidRPr="00C43868" w:rsidRDefault="009F352A" w:rsidP="00576EE6">
      <w:pPr>
        <w:pStyle w:val="ListParagraph"/>
        <w:numPr>
          <w:ilvl w:val="0"/>
          <w:numId w:val="43"/>
        </w:numPr>
        <w:spacing w:after="120"/>
        <w:contextualSpacing w:val="0"/>
        <w:rPr>
          <w:lang w:val="fr-CA"/>
        </w:rPr>
      </w:pPr>
      <w:r w:rsidRPr="00C43868">
        <w:rPr>
          <w:lang w:val="fr-CA"/>
        </w:rPr>
        <w:t>d’é</w:t>
      </w:r>
      <w:r w:rsidR="009E1EC6" w:rsidRPr="00C43868">
        <w:rPr>
          <w:lang w:val="fr-CA"/>
        </w:rPr>
        <w:t xml:space="preserve">largir les itinéraires et </w:t>
      </w:r>
      <w:r w:rsidR="00D63EAF">
        <w:rPr>
          <w:lang w:val="fr-CA"/>
        </w:rPr>
        <w:t xml:space="preserve">d’augmenter </w:t>
      </w:r>
      <w:r w:rsidR="009E1EC6" w:rsidRPr="00C43868">
        <w:rPr>
          <w:lang w:val="fr-CA"/>
        </w:rPr>
        <w:t xml:space="preserve">la fréquence des services de transport ferroviaire de passagers </w:t>
      </w:r>
      <w:r w:rsidRPr="00C43868">
        <w:rPr>
          <w:lang w:val="fr-CA"/>
        </w:rPr>
        <w:t xml:space="preserve">dans l’ensemble du </w:t>
      </w:r>
      <w:r w:rsidR="009E1EC6" w:rsidRPr="00C43868">
        <w:rPr>
          <w:lang w:val="fr-CA"/>
        </w:rPr>
        <w:t>Canada;</w:t>
      </w:r>
    </w:p>
    <w:p w14:paraId="77DD7900" w14:textId="70B21EA4" w:rsidR="001F2EB5" w:rsidRPr="00C43868" w:rsidRDefault="009F352A" w:rsidP="00576EE6">
      <w:pPr>
        <w:pStyle w:val="ListParagraph"/>
        <w:numPr>
          <w:ilvl w:val="0"/>
          <w:numId w:val="43"/>
        </w:numPr>
        <w:spacing w:after="120"/>
        <w:contextualSpacing w:val="0"/>
        <w:rPr>
          <w:lang w:val="fr-CA"/>
        </w:rPr>
      </w:pPr>
      <w:r w:rsidRPr="00C43868">
        <w:rPr>
          <w:lang w:val="fr-CA"/>
        </w:rPr>
        <w:t>de v</w:t>
      </w:r>
      <w:r w:rsidR="001F2EB5" w:rsidRPr="00C43868">
        <w:rPr>
          <w:lang w:val="fr-CA"/>
        </w:rPr>
        <w:t xml:space="preserve">eiller à ce que les investissements dans le transport ferroviaire de passagers incluent des exigences </w:t>
      </w:r>
      <w:r w:rsidR="00A21565">
        <w:rPr>
          <w:lang w:val="fr-CA"/>
        </w:rPr>
        <w:t xml:space="preserve">quant au </w:t>
      </w:r>
      <w:r w:rsidR="001F2EB5" w:rsidRPr="00C43868">
        <w:rPr>
          <w:lang w:val="fr-CA"/>
        </w:rPr>
        <w:t>contenu canadien.</w:t>
      </w:r>
    </w:p>
    <w:p w14:paraId="40CD773F" w14:textId="4E392E92" w:rsidR="001F2EB5" w:rsidRPr="00C43868" w:rsidRDefault="001F2EB5" w:rsidP="001744E1">
      <w:pPr>
        <w:pStyle w:val="Heading2"/>
        <w:numPr>
          <w:ilvl w:val="0"/>
          <w:numId w:val="49"/>
        </w:numPr>
        <w:rPr>
          <w:rFonts w:eastAsiaTheme="minorEastAsia"/>
          <w:lang w:val="fr-CA"/>
        </w:rPr>
      </w:pPr>
      <w:r w:rsidRPr="00C43868">
        <w:rPr>
          <w:rFonts w:eastAsiaTheme="minorEastAsia"/>
          <w:u w:val="none"/>
          <w:lang w:val="fr-CA"/>
        </w:rPr>
        <w:lastRenderedPageBreak/>
        <w:t xml:space="preserve"> </w:t>
      </w:r>
      <w:r w:rsidRPr="00C43868">
        <w:rPr>
          <w:rFonts w:eastAsiaTheme="minorEastAsia"/>
          <w:lang w:val="fr-CA"/>
        </w:rPr>
        <w:t>Changements stratégiques dans le transport ferroviaire de marchandises</w:t>
      </w:r>
    </w:p>
    <w:p w14:paraId="1932075D" w14:textId="0E17D34D" w:rsidR="001F2EB5" w:rsidRPr="00C43868" w:rsidRDefault="009726DF" w:rsidP="00F8494C">
      <w:pPr>
        <w:rPr>
          <w:lang w:val="fr-CA"/>
        </w:rPr>
      </w:pPr>
      <w:r>
        <w:rPr>
          <w:lang w:val="fr-CA"/>
        </w:rPr>
        <w:t>L</w:t>
      </w:r>
      <w:r w:rsidR="004A1CC9" w:rsidRPr="00C43868">
        <w:rPr>
          <w:lang w:val="fr-CA"/>
        </w:rPr>
        <w:t xml:space="preserve">es </w:t>
      </w:r>
      <w:r>
        <w:rPr>
          <w:lang w:val="fr-CA"/>
        </w:rPr>
        <w:t xml:space="preserve">récents </w:t>
      </w:r>
      <w:r w:rsidR="004A1CC9" w:rsidRPr="00C43868">
        <w:rPr>
          <w:lang w:val="fr-CA"/>
        </w:rPr>
        <w:t xml:space="preserve">changements dans l’industrie ferroviaire ont exercé une pression à la baisse sur la sécurité et les conditions de travail. </w:t>
      </w:r>
      <w:r w:rsidR="004A1CC9" w:rsidRPr="0029546B">
        <w:rPr>
          <w:lang w:val="fr-CA"/>
        </w:rPr>
        <w:t xml:space="preserve">L’extension de la limite d’interconnexion a </w:t>
      </w:r>
      <w:r w:rsidR="0029546B" w:rsidRPr="0029546B">
        <w:rPr>
          <w:lang w:val="fr-CA"/>
        </w:rPr>
        <w:t xml:space="preserve">rendu </w:t>
      </w:r>
      <w:r w:rsidR="004A1CC9" w:rsidRPr="0029546B">
        <w:rPr>
          <w:lang w:val="fr-CA"/>
        </w:rPr>
        <w:t xml:space="preserve">le service ferroviaire canadien </w:t>
      </w:r>
      <w:r w:rsidR="0029546B" w:rsidRPr="0029546B">
        <w:rPr>
          <w:lang w:val="fr-CA"/>
        </w:rPr>
        <w:t xml:space="preserve">vulnérable </w:t>
      </w:r>
      <w:r w:rsidR="004A1CC9" w:rsidRPr="0029546B">
        <w:rPr>
          <w:lang w:val="fr-CA"/>
        </w:rPr>
        <w:t xml:space="preserve">à une concurrence déséquilibrée avec les entreprises </w:t>
      </w:r>
      <w:r w:rsidR="0029546B" w:rsidRPr="0029546B">
        <w:rPr>
          <w:lang w:val="fr-CA"/>
        </w:rPr>
        <w:t>établies</w:t>
      </w:r>
      <w:r w:rsidR="004A1CC9" w:rsidRPr="0029546B">
        <w:rPr>
          <w:lang w:val="fr-CA"/>
        </w:rPr>
        <w:t xml:space="preserve"> aux </w:t>
      </w:r>
      <w:r w:rsidR="009F352A" w:rsidRPr="0029546B">
        <w:rPr>
          <w:lang w:val="fr-CA"/>
        </w:rPr>
        <w:t>États-Unis, faisant</w:t>
      </w:r>
      <w:r w:rsidR="004A1CC9" w:rsidRPr="0029546B">
        <w:rPr>
          <w:lang w:val="fr-CA"/>
        </w:rPr>
        <w:t xml:space="preserve"> pression sur les salaires et les conditions de travail.</w:t>
      </w:r>
      <w:r w:rsidR="004A1CC9" w:rsidRPr="00C43868">
        <w:rPr>
          <w:lang w:val="fr-CA"/>
        </w:rPr>
        <w:t xml:space="preserve"> L’évolution technologique met en péril les normes de sécurité</w:t>
      </w:r>
      <w:r>
        <w:rPr>
          <w:lang w:val="fr-CA"/>
        </w:rPr>
        <w:t>,</w:t>
      </w:r>
      <w:r w:rsidR="004A1CC9" w:rsidRPr="00C43868">
        <w:rPr>
          <w:lang w:val="fr-CA"/>
        </w:rPr>
        <w:t xml:space="preserve"> et la volatilité des prix des carburants offre des possibilités de </w:t>
      </w:r>
      <w:r w:rsidR="002E1F5F">
        <w:rPr>
          <w:lang w:val="fr-CA"/>
        </w:rPr>
        <w:t>mercantilisme</w:t>
      </w:r>
      <w:r w:rsidR="004A1CC9" w:rsidRPr="00C43868">
        <w:rPr>
          <w:lang w:val="fr-CA"/>
        </w:rPr>
        <w:t xml:space="preserve">.  </w:t>
      </w:r>
    </w:p>
    <w:p w14:paraId="575D3E0A" w14:textId="43D93B58" w:rsidR="001F2EB5" w:rsidRPr="00C43868" w:rsidRDefault="001F2EB5" w:rsidP="00F8494C">
      <w:pPr>
        <w:rPr>
          <w:lang w:val="fr-CA"/>
        </w:rPr>
      </w:pPr>
      <w:r w:rsidRPr="00C43868">
        <w:rPr>
          <w:lang w:val="fr-CA"/>
        </w:rPr>
        <w:t xml:space="preserve">Unifor recommande au gouvernement : </w:t>
      </w:r>
    </w:p>
    <w:p w14:paraId="2F21DEA6" w14:textId="560461C7" w:rsidR="001F2EB5" w:rsidRPr="00C43868" w:rsidRDefault="00B7784D" w:rsidP="00F8494C">
      <w:pPr>
        <w:pStyle w:val="ListParagraph"/>
        <w:numPr>
          <w:ilvl w:val="0"/>
          <w:numId w:val="44"/>
        </w:numPr>
        <w:spacing w:after="120"/>
        <w:contextualSpacing w:val="0"/>
        <w:rPr>
          <w:lang w:val="fr-CA"/>
        </w:rPr>
      </w:pPr>
      <w:r w:rsidRPr="00C43868">
        <w:rPr>
          <w:lang w:val="fr-CA"/>
        </w:rPr>
        <w:t>de f</w:t>
      </w:r>
      <w:r w:rsidR="001F2EB5" w:rsidRPr="00C43868">
        <w:rPr>
          <w:lang w:val="fr-CA"/>
        </w:rPr>
        <w:t xml:space="preserve">inancer un examen public de l’impact du projet pilote d’extension de la limite d’interconnexion sur l’emploi </w:t>
      </w:r>
      <w:r w:rsidR="002A1B70">
        <w:rPr>
          <w:lang w:val="fr-CA"/>
        </w:rPr>
        <w:t>au Canada</w:t>
      </w:r>
      <w:r w:rsidR="001F2EB5" w:rsidRPr="00C43868">
        <w:rPr>
          <w:lang w:val="fr-CA"/>
        </w:rPr>
        <w:t>;</w:t>
      </w:r>
    </w:p>
    <w:p w14:paraId="4167580D" w14:textId="5FDC2669" w:rsidR="001F2EB5" w:rsidRPr="00C43868" w:rsidRDefault="00B7784D" w:rsidP="00F8494C">
      <w:pPr>
        <w:pStyle w:val="ListParagraph"/>
        <w:numPr>
          <w:ilvl w:val="0"/>
          <w:numId w:val="44"/>
        </w:numPr>
        <w:spacing w:after="120"/>
        <w:contextualSpacing w:val="0"/>
        <w:rPr>
          <w:lang w:val="fr-CA"/>
        </w:rPr>
      </w:pPr>
      <w:r w:rsidRPr="00C43868">
        <w:rPr>
          <w:lang w:val="fr-CA"/>
        </w:rPr>
        <w:t>de s</w:t>
      </w:r>
      <w:r w:rsidR="001F2EB5" w:rsidRPr="00C43868">
        <w:rPr>
          <w:lang w:val="fr-CA"/>
        </w:rPr>
        <w:t>uivre l’exemple des États-Unis en soutenant les inspections de sécurité des trains qui augmentent l</w:t>
      </w:r>
      <w:r w:rsidR="002A1B70">
        <w:rPr>
          <w:lang w:val="fr-CA"/>
        </w:rPr>
        <w:t>e taux d</w:t>
      </w:r>
      <w:r w:rsidR="001F2EB5" w:rsidRPr="00C43868">
        <w:rPr>
          <w:lang w:val="fr-CA"/>
        </w:rPr>
        <w:t xml:space="preserve">’emploi dans le secteur </w:t>
      </w:r>
      <w:r w:rsidR="002A1B70">
        <w:rPr>
          <w:lang w:val="fr-CA"/>
        </w:rPr>
        <w:t xml:space="preserve">plutôt que </w:t>
      </w:r>
      <w:r w:rsidR="001F2EB5" w:rsidRPr="00C43868">
        <w:rPr>
          <w:lang w:val="fr-CA"/>
        </w:rPr>
        <w:t>d’essayer de remplacer les travailleuses et travailleurs;</w:t>
      </w:r>
    </w:p>
    <w:p w14:paraId="34A9CB15" w14:textId="22EF3EA5" w:rsidR="001F2EB5" w:rsidRPr="00C43868" w:rsidRDefault="00B7784D" w:rsidP="00F8494C">
      <w:pPr>
        <w:pStyle w:val="ListParagraph"/>
        <w:numPr>
          <w:ilvl w:val="0"/>
          <w:numId w:val="44"/>
        </w:numPr>
        <w:spacing w:after="120"/>
        <w:contextualSpacing w:val="0"/>
        <w:rPr>
          <w:lang w:val="fr-CA"/>
        </w:rPr>
      </w:pPr>
      <w:r w:rsidRPr="00C43868">
        <w:rPr>
          <w:lang w:val="fr-CA"/>
        </w:rPr>
        <w:t>de m</w:t>
      </w:r>
      <w:r w:rsidR="001F2EB5" w:rsidRPr="00C43868">
        <w:rPr>
          <w:lang w:val="fr-CA"/>
        </w:rPr>
        <w:t xml:space="preserve">ettre en œuvre une réglementation visant à stabiliser les prix du carburant pour les services de transport de passagers et de marchandises afin de garantir des prix prévisibles dans l’ensemble de ces secteurs. </w:t>
      </w:r>
    </w:p>
    <w:p w14:paraId="78005B93" w14:textId="5298E7ED" w:rsidR="001F2EB5" w:rsidRPr="00C43868" w:rsidRDefault="00D14FA9" w:rsidP="001744E1">
      <w:pPr>
        <w:pStyle w:val="Heading2"/>
        <w:numPr>
          <w:ilvl w:val="0"/>
          <w:numId w:val="49"/>
        </w:numPr>
        <w:spacing w:before="240" w:line="240" w:lineRule="auto"/>
        <w:rPr>
          <w:rFonts w:eastAsiaTheme="minorEastAsia"/>
          <w:lang w:val="fr-CA"/>
        </w:rPr>
      </w:pPr>
      <w:r w:rsidRPr="00C43868">
        <w:rPr>
          <w:rFonts w:eastAsiaTheme="minorEastAsia"/>
          <w:u w:val="none"/>
          <w:lang w:val="fr-CA"/>
        </w:rPr>
        <w:t xml:space="preserve"> </w:t>
      </w:r>
      <w:r w:rsidR="001F2EB5" w:rsidRPr="00C43868">
        <w:rPr>
          <w:rFonts w:eastAsiaTheme="minorEastAsia"/>
          <w:lang w:val="fr-CA"/>
        </w:rPr>
        <w:t>Améliorer l’emploi dans le secteur du transport aérien au Canada</w:t>
      </w:r>
    </w:p>
    <w:p w14:paraId="40C607B2" w14:textId="4ED06353" w:rsidR="001F2EB5" w:rsidRPr="00C43868" w:rsidRDefault="001F2EB5" w:rsidP="00F8494C">
      <w:pPr>
        <w:rPr>
          <w:lang w:val="fr-CA"/>
        </w:rPr>
      </w:pPr>
      <w:r w:rsidRPr="00C43868">
        <w:rPr>
          <w:lang w:val="fr-CA"/>
        </w:rPr>
        <w:t xml:space="preserve">Le </w:t>
      </w:r>
      <w:r w:rsidR="00E00B4A">
        <w:rPr>
          <w:lang w:val="fr-CA"/>
        </w:rPr>
        <w:t>réseau</w:t>
      </w:r>
      <w:r w:rsidRPr="00C43868">
        <w:rPr>
          <w:lang w:val="fr-CA"/>
        </w:rPr>
        <w:t xml:space="preserve"> de transport aérien du Canada continue </w:t>
      </w:r>
      <w:r w:rsidR="00E00B4A">
        <w:rPr>
          <w:lang w:val="fr-CA"/>
        </w:rPr>
        <w:t xml:space="preserve">à </w:t>
      </w:r>
      <w:r w:rsidRPr="00C43868">
        <w:rPr>
          <w:lang w:val="fr-CA"/>
        </w:rPr>
        <w:t xml:space="preserve">fonctionner dans la tourmente. Les interventions antérieures des gouvernements n’ont pas résolu le problème des retards et des annulations dans les aéroports depuis leur </w:t>
      </w:r>
      <w:r w:rsidR="00E00B4A">
        <w:rPr>
          <w:lang w:val="fr-CA"/>
        </w:rPr>
        <w:t>reprise</w:t>
      </w:r>
      <w:r w:rsidRPr="00C43868">
        <w:rPr>
          <w:lang w:val="fr-CA"/>
        </w:rPr>
        <w:t xml:space="preserve"> après la pandémie. Les propositions des travailleuses et travailleurs visant à améliorer les conditions de travail et le service ont été ignorées. </w:t>
      </w:r>
    </w:p>
    <w:p w14:paraId="082203B8" w14:textId="77777777" w:rsidR="001F2EB5" w:rsidRPr="00C43868" w:rsidRDefault="001F2EB5" w:rsidP="00F8494C">
      <w:pPr>
        <w:rPr>
          <w:lang w:val="fr-CA"/>
        </w:rPr>
      </w:pPr>
      <w:r w:rsidRPr="00C43868">
        <w:rPr>
          <w:lang w:val="fr-CA"/>
        </w:rPr>
        <w:t xml:space="preserve">Unifor recommande au gouvernement : </w:t>
      </w:r>
    </w:p>
    <w:p w14:paraId="1BF56B55" w14:textId="69782CF5" w:rsidR="001F2EB5" w:rsidRPr="00C43868" w:rsidRDefault="00883C89" w:rsidP="00F8494C">
      <w:pPr>
        <w:pStyle w:val="ListParagraph"/>
        <w:numPr>
          <w:ilvl w:val="0"/>
          <w:numId w:val="45"/>
        </w:numPr>
        <w:spacing w:after="120"/>
        <w:contextualSpacing w:val="0"/>
        <w:rPr>
          <w:lang w:val="fr-CA"/>
        </w:rPr>
      </w:pPr>
      <w:r w:rsidRPr="00C43868">
        <w:rPr>
          <w:lang w:val="fr-CA"/>
        </w:rPr>
        <w:t>de f</w:t>
      </w:r>
      <w:r w:rsidR="006F7DEC" w:rsidRPr="00C43868">
        <w:rPr>
          <w:lang w:val="fr-CA"/>
        </w:rPr>
        <w:t xml:space="preserve">aire du salaire de subsistance le nouveau plancher salarial dans les aéroports, </w:t>
      </w:r>
      <w:r w:rsidR="0089578C">
        <w:rPr>
          <w:lang w:val="fr-CA"/>
        </w:rPr>
        <w:t xml:space="preserve">de </w:t>
      </w:r>
      <w:r w:rsidR="006F7DEC" w:rsidRPr="00C43868">
        <w:rPr>
          <w:lang w:val="fr-CA"/>
        </w:rPr>
        <w:t xml:space="preserve">mettre en œuvre des politiques de rémunération équitable et </w:t>
      </w:r>
      <w:r w:rsidR="0089578C">
        <w:rPr>
          <w:lang w:val="fr-CA"/>
        </w:rPr>
        <w:t xml:space="preserve">de </w:t>
      </w:r>
      <w:r w:rsidR="006F7DEC" w:rsidRPr="00C43868">
        <w:rPr>
          <w:lang w:val="fr-CA"/>
        </w:rPr>
        <w:t xml:space="preserve">garantir une protection contre la sous-traitance; </w:t>
      </w:r>
    </w:p>
    <w:p w14:paraId="31236C47" w14:textId="2D031DBE" w:rsidR="001F2EB5" w:rsidRPr="00C43868" w:rsidRDefault="00883C89" w:rsidP="00F8494C">
      <w:pPr>
        <w:pStyle w:val="ListParagraph"/>
        <w:numPr>
          <w:ilvl w:val="0"/>
          <w:numId w:val="45"/>
        </w:numPr>
        <w:spacing w:after="120"/>
        <w:contextualSpacing w:val="0"/>
        <w:rPr>
          <w:lang w:val="fr-CA"/>
        </w:rPr>
      </w:pPr>
      <w:r w:rsidRPr="00C43868">
        <w:rPr>
          <w:lang w:val="fr-CA"/>
        </w:rPr>
        <w:t>de m</w:t>
      </w:r>
      <w:r w:rsidR="001F2EB5" w:rsidRPr="00C43868">
        <w:rPr>
          <w:lang w:val="fr-CA"/>
        </w:rPr>
        <w:t>ettre en place un processus pour lutter contre le harcèlement et la violence auxquels sont confrontés les travailleuses et travailleurs de première ligne dans le secteur;</w:t>
      </w:r>
    </w:p>
    <w:p w14:paraId="36FDB5D0" w14:textId="59FBB563" w:rsidR="001F2EB5" w:rsidRPr="00C43868" w:rsidRDefault="00883C89" w:rsidP="00F8494C">
      <w:pPr>
        <w:pStyle w:val="ListParagraph"/>
        <w:numPr>
          <w:ilvl w:val="0"/>
          <w:numId w:val="45"/>
        </w:numPr>
        <w:spacing w:after="120"/>
        <w:contextualSpacing w:val="0"/>
        <w:rPr>
          <w:lang w:val="fr-CA"/>
        </w:rPr>
      </w:pPr>
      <w:r w:rsidRPr="00C43868">
        <w:rPr>
          <w:lang w:val="fr-CA"/>
        </w:rPr>
        <w:t>de v</w:t>
      </w:r>
      <w:r w:rsidR="001F2EB5" w:rsidRPr="00C43868">
        <w:rPr>
          <w:lang w:val="fr-CA"/>
        </w:rPr>
        <w:t>eiller à ce que les normes de service</w:t>
      </w:r>
      <w:r w:rsidRPr="00C43868">
        <w:rPr>
          <w:lang w:val="fr-CA"/>
        </w:rPr>
        <w:t>, qui sont liées au projet de loi C-51,</w:t>
      </w:r>
      <w:r w:rsidR="001F2EB5" w:rsidRPr="00C43868">
        <w:rPr>
          <w:lang w:val="fr-CA"/>
        </w:rPr>
        <w:t xml:space="preserve"> qui seront mises en œuvre ne</w:t>
      </w:r>
      <w:r w:rsidR="00B0337E">
        <w:rPr>
          <w:lang w:val="fr-CA"/>
        </w:rPr>
        <w:t xml:space="preserve"> nuisent pas </w:t>
      </w:r>
      <w:r w:rsidR="001F2EB5" w:rsidRPr="00C43868">
        <w:rPr>
          <w:lang w:val="fr-CA"/>
        </w:rPr>
        <w:t xml:space="preserve">aux règles de santé et de sécurité. </w:t>
      </w:r>
    </w:p>
    <w:p w14:paraId="7B582256" w14:textId="060FDACC" w:rsidR="001F2EB5" w:rsidRPr="00C43868" w:rsidRDefault="00D14FA9" w:rsidP="001744E1">
      <w:pPr>
        <w:pStyle w:val="Heading2"/>
        <w:numPr>
          <w:ilvl w:val="0"/>
          <w:numId w:val="49"/>
        </w:numPr>
        <w:rPr>
          <w:rFonts w:eastAsiaTheme="minorEastAsia"/>
          <w:lang w:val="fr-CA"/>
        </w:rPr>
      </w:pPr>
      <w:r w:rsidRPr="00C43868">
        <w:rPr>
          <w:rFonts w:eastAsiaTheme="minorEastAsia"/>
          <w:u w:val="none"/>
          <w:lang w:val="fr-CA"/>
        </w:rPr>
        <w:t xml:space="preserve"> </w:t>
      </w:r>
      <w:r w:rsidR="007E173D" w:rsidRPr="00C43868">
        <w:rPr>
          <w:rFonts w:eastAsiaTheme="minorEastAsia"/>
          <w:lang w:val="fr-CA"/>
        </w:rPr>
        <w:t>Amélioration continue du secteur du transport routier au Canada</w:t>
      </w:r>
    </w:p>
    <w:p w14:paraId="7F2A417D" w14:textId="78AB812B" w:rsidR="001F2EB5" w:rsidRPr="00C43868" w:rsidRDefault="001F2EB5" w:rsidP="001F2EB5">
      <w:pPr>
        <w:pStyle w:val="ListParagraph"/>
        <w:ind w:left="0"/>
        <w:rPr>
          <w:lang w:val="fr-CA"/>
        </w:rPr>
      </w:pPr>
      <w:r w:rsidRPr="00C43868">
        <w:rPr>
          <w:lang w:val="fr-CA"/>
        </w:rPr>
        <w:t xml:space="preserve">Unifor continue </w:t>
      </w:r>
      <w:r w:rsidR="003C72AD">
        <w:rPr>
          <w:lang w:val="fr-CA"/>
        </w:rPr>
        <w:t>à</w:t>
      </w:r>
      <w:r w:rsidRPr="00C43868">
        <w:rPr>
          <w:lang w:val="fr-CA"/>
        </w:rPr>
        <w:t xml:space="preserve"> </w:t>
      </w:r>
      <w:r w:rsidR="003C72AD">
        <w:rPr>
          <w:lang w:val="fr-CA"/>
        </w:rPr>
        <w:t xml:space="preserve">réitérer </w:t>
      </w:r>
      <w:r w:rsidRPr="00C43868">
        <w:rPr>
          <w:lang w:val="fr-CA"/>
        </w:rPr>
        <w:t>l</w:t>
      </w:r>
      <w:r w:rsidR="003C72AD">
        <w:rPr>
          <w:lang w:val="fr-CA"/>
        </w:rPr>
        <w:t xml:space="preserve">a nécessité d’élaborer </w:t>
      </w:r>
      <w:r w:rsidRPr="00C43868">
        <w:rPr>
          <w:lang w:val="fr-CA"/>
        </w:rPr>
        <w:t>de</w:t>
      </w:r>
      <w:r w:rsidR="003C72AD">
        <w:rPr>
          <w:lang w:val="fr-CA"/>
        </w:rPr>
        <w:t>s</w:t>
      </w:r>
      <w:r w:rsidRPr="00C43868">
        <w:rPr>
          <w:lang w:val="fr-CA"/>
        </w:rPr>
        <w:t xml:space="preserve"> normes plus </w:t>
      </w:r>
      <w:r w:rsidR="003C72AD">
        <w:rPr>
          <w:lang w:val="fr-CA"/>
        </w:rPr>
        <w:t xml:space="preserve">strictes </w:t>
      </w:r>
      <w:r w:rsidRPr="00C43868">
        <w:rPr>
          <w:lang w:val="fr-CA"/>
        </w:rPr>
        <w:t xml:space="preserve">dans le secteur du transport routier. Des conductrices et conducteurs de camions aux plateformes </w:t>
      </w:r>
      <w:r w:rsidRPr="00C43868">
        <w:rPr>
          <w:lang w:val="fr-CA"/>
        </w:rPr>
        <w:lastRenderedPageBreak/>
        <w:t xml:space="preserve">numériques, le gouvernement doit promouvoir des conditions de travail saines et sécuritaires et soutenir des normes équitables et égales. </w:t>
      </w:r>
    </w:p>
    <w:p w14:paraId="4F7D0E25" w14:textId="77777777" w:rsidR="00DE1595" w:rsidRPr="00C43868" w:rsidRDefault="00DE1595" w:rsidP="001F2EB5">
      <w:pPr>
        <w:pStyle w:val="ListParagraph"/>
        <w:ind w:left="0"/>
        <w:rPr>
          <w:lang w:val="fr-CA"/>
        </w:rPr>
      </w:pPr>
    </w:p>
    <w:p w14:paraId="32472B6D" w14:textId="63E12609" w:rsidR="001F2EB5" w:rsidRPr="00C43868" w:rsidRDefault="001F2EB5" w:rsidP="001F2EB5">
      <w:pPr>
        <w:pStyle w:val="ListParagraph"/>
        <w:ind w:left="0"/>
        <w:rPr>
          <w:lang w:val="fr-CA"/>
        </w:rPr>
      </w:pPr>
      <w:r w:rsidRPr="00C43868">
        <w:rPr>
          <w:lang w:val="fr-CA"/>
        </w:rPr>
        <w:t xml:space="preserve">Unifor recommande au gouvernement : </w:t>
      </w:r>
    </w:p>
    <w:p w14:paraId="6F59B389" w14:textId="77777777" w:rsidR="001F2EB5" w:rsidRPr="00C43868" w:rsidRDefault="001F2EB5" w:rsidP="001F2EB5">
      <w:pPr>
        <w:pStyle w:val="ListParagraph"/>
        <w:ind w:left="0"/>
        <w:rPr>
          <w:lang w:val="fr-CA"/>
        </w:rPr>
      </w:pPr>
    </w:p>
    <w:p w14:paraId="5F497EC9" w14:textId="78495BDA" w:rsidR="001F2EB5" w:rsidRPr="00C43868" w:rsidRDefault="00376A92" w:rsidP="001F2EB5">
      <w:pPr>
        <w:pStyle w:val="ListParagraph"/>
        <w:numPr>
          <w:ilvl w:val="0"/>
          <w:numId w:val="37"/>
        </w:numPr>
        <w:rPr>
          <w:lang w:val="fr-CA"/>
        </w:rPr>
      </w:pPr>
      <w:r w:rsidRPr="00C43868">
        <w:rPr>
          <w:lang w:val="fr-CA"/>
        </w:rPr>
        <w:t>de t</w:t>
      </w:r>
      <w:r w:rsidR="001F2EB5" w:rsidRPr="00C43868">
        <w:rPr>
          <w:lang w:val="fr-CA"/>
        </w:rPr>
        <w:t xml:space="preserve">ravailler avec les ministres provinciaux des </w:t>
      </w:r>
      <w:r w:rsidR="00B80D90">
        <w:rPr>
          <w:lang w:val="fr-CA"/>
        </w:rPr>
        <w:t>t</w:t>
      </w:r>
      <w:r w:rsidR="001F2EB5" w:rsidRPr="00C43868">
        <w:rPr>
          <w:lang w:val="fr-CA"/>
        </w:rPr>
        <w:t xml:space="preserve">ransports pour soutenir l’investissement dans </w:t>
      </w:r>
      <w:r w:rsidRPr="00C43868">
        <w:rPr>
          <w:lang w:val="fr-CA"/>
        </w:rPr>
        <w:t xml:space="preserve">les </w:t>
      </w:r>
      <w:r w:rsidR="001F2EB5" w:rsidRPr="00C43868">
        <w:rPr>
          <w:lang w:val="fr-CA"/>
        </w:rPr>
        <w:t xml:space="preserve">aires de repos et de stationnement sécuritaires supplémentaires pour les conductrices et conducteurs </w:t>
      </w:r>
      <w:r w:rsidR="00B80D90" w:rsidRPr="00C43868">
        <w:rPr>
          <w:lang w:val="fr-CA"/>
        </w:rPr>
        <w:t xml:space="preserve">de longue distance </w:t>
      </w:r>
      <w:r w:rsidR="001F2EB5" w:rsidRPr="00C43868">
        <w:rPr>
          <w:lang w:val="fr-CA"/>
        </w:rPr>
        <w:t xml:space="preserve">de poids lourds </w:t>
      </w:r>
      <w:r w:rsidR="00B80D90">
        <w:rPr>
          <w:lang w:val="fr-CA"/>
        </w:rPr>
        <w:t>en région</w:t>
      </w:r>
      <w:r w:rsidRPr="00C43868">
        <w:rPr>
          <w:lang w:val="fr-CA"/>
        </w:rPr>
        <w:t>;</w:t>
      </w:r>
      <w:r w:rsidR="001F2EB5" w:rsidRPr="00C43868">
        <w:rPr>
          <w:lang w:val="fr-CA"/>
        </w:rPr>
        <w:t xml:space="preserve"> </w:t>
      </w:r>
    </w:p>
    <w:p w14:paraId="5C8C10D5" w14:textId="77777777" w:rsidR="00DE1595" w:rsidRPr="00C43868" w:rsidRDefault="00DE1595" w:rsidP="00DE1595">
      <w:pPr>
        <w:pStyle w:val="ListParagraph"/>
        <w:rPr>
          <w:lang w:val="fr-CA"/>
        </w:rPr>
      </w:pPr>
    </w:p>
    <w:p w14:paraId="2191D424" w14:textId="263EC4F8" w:rsidR="001F2EB5" w:rsidRPr="00C43868" w:rsidRDefault="00376A92" w:rsidP="001F2EB5">
      <w:pPr>
        <w:pStyle w:val="ListParagraph"/>
        <w:numPr>
          <w:ilvl w:val="0"/>
          <w:numId w:val="37"/>
        </w:numPr>
        <w:rPr>
          <w:lang w:val="fr-CA"/>
        </w:rPr>
      </w:pPr>
      <w:r w:rsidRPr="00C43868">
        <w:rPr>
          <w:lang w:val="fr-CA"/>
        </w:rPr>
        <w:t>de m</w:t>
      </w:r>
      <w:r w:rsidR="001F2EB5" w:rsidRPr="00C43868">
        <w:rPr>
          <w:lang w:val="fr-CA"/>
        </w:rPr>
        <w:t>ett</w:t>
      </w:r>
      <w:r w:rsidR="00B60C80" w:rsidRPr="00C43868">
        <w:rPr>
          <w:lang w:val="fr-CA"/>
        </w:rPr>
        <w:t>r</w:t>
      </w:r>
      <w:r w:rsidR="001F2EB5" w:rsidRPr="00C43868">
        <w:rPr>
          <w:lang w:val="fr-CA"/>
        </w:rPr>
        <w:t>e en œuvre une législation du travail qui établi</w:t>
      </w:r>
      <w:r w:rsidR="00043C17">
        <w:rPr>
          <w:lang w:val="fr-CA"/>
        </w:rPr>
        <w:t>t</w:t>
      </w:r>
      <w:r w:rsidR="001F2EB5" w:rsidRPr="00C43868">
        <w:rPr>
          <w:lang w:val="fr-CA"/>
        </w:rPr>
        <w:t xml:space="preserve"> des droits de négociation sectoriels pour les travailleuses et travailleurs occasionnels, qu’ils soient numériques ou mal classifiés, en consultation avec les syndicats. </w:t>
      </w:r>
    </w:p>
    <w:p w14:paraId="71A13C02" w14:textId="39691A7A" w:rsidR="001F2EB5" w:rsidRPr="00C43868" w:rsidRDefault="00D14FA9" w:rsidP="001744E1">
      <w:pPr>
        <w:pStyle w:val="Heading2"/>
        <w:numPr>
          <w:ilvl w:val="0"/>
          <w:numId w:val="49"/>
        </w:numPr>
        <w:spacing w:before="240" w:line="240" w:lineRule="auto"/>
        <w:rPr>
          <w:rFonts w:eastAsiaTheme="minorEastAsia"/>
          <w:lang w:val="fr-CA"/>
        </w:rPr>
      </w:pPr>
      <w:r w:rsidRPr="00C43868">
        <w:rPr>
          <w:rFonts w:eastAsiaTheme="minorEastAsia"/>
          <w:u w:val="none"/>
          <w:lang w:val="fr-CA"/>
        </w:rPr>
        <w:t xml:space="preserve"> </w:t>
      </w:r>
      <w:r w:rsidR="001F2EB5" w:rsidRPr="00C43868">
        <w:rPr>
          <w:rFonts w:eastAsiaTheme="minorEastAsia"/>
          <w:lang w:val="fr-CA"/>
        </w:rPr>
        <w:t>Réglementer pour sauver les nouvelles locales</w:t>
      </w:r>
      <w:r w:rsidR="006C4983">
        <w:rPr>
          <w:rFonts w:eastAsiaTheme="minorEastAsia"/>
          <w:lang w:val="fr-CA"/>
        </w:rPr>
        <w:t xml:space="preserve"> et</w:t>
      </w:r>
      <w:r w:rsidR="001F2EB5" w:rsidRPr="00C43868">
        <w:rPr>
          <w:rFonts w:eastAsiaTheme="minorEastAsia"/>
          <w:lang w:val="fr-CA"/>
        </w:rPr>
        <w:t xml:space="preserve"> protéger les journalistes contre le harcèlement</w:t>
      </w:r>
    </w:p>
    <w:p w14:paraId="51880167" w14:textId="1041A162" w:rsidR="001F2EB5" w:rsidRPr="00C43868" w:rsidRDefault="001F2EB5" w:rsidP="00F8494C">
      <w:pPr>
        <w:rPr>
          <w:lang w:val="fr-CA"/>
        </w:rPr>
      </w:pPr>
      <w:r w:rsidRPr="00C43868">
        <w:rPr>
          <w:lang w:val="fr-CA"/>
        </w:rPr>
        <w:t xml:space="preserve">Unifor soutient la </w:t>
      </w:r>
      <w:r w:rsidRPr="00C43868">
        <w:rPr>
          <w:i/>
          <w:lang w:val="fr-CA"/>
        </w:rPr>
        <w:t>Loi sur la diffusion continue en ligne</w:t>
      </w:r>
      <w:r w:rsidRPr="00C43868">
        <w:rPr>
          <w:lang w:val="fr-CA"/>
        </w:rPr>
        <w:t xml:space="preserve"> et la </w:t>
      </w:r>
      <w:r w:rsidRPr="00C43868">
        <w:rPr>
          <w:i/>
          <w:lang w:val="fr-CA"/>
        </w:rPr>
        <w:t>Loi sur les nouvelles en ligne</w:t>
      </w:r>
      <w:r w:rsidRPr="00C43868">
        <w:rPr>
          <w:lang w:val="fr-CA"/>
        </w:rPr>
        <w:t xml:space="preserve"> ainsi que les mesures </w:t>
      </w:r>
      <w:r w:rsidR="006C4983">
        <w:rPr>
          <w:lang w:val="fr-CA"/>
        </w:rPr>
        <w:t>connexes</w:t>
      </w:r>
      <w:r w:rsidRPr="00C43868">
        <w:rPr>
          <w:lang w:val="fr-CA"/>
        </w:rPr>
        <w:t xml:space="preserve"> pour </w:t>
      </w:r>
      <w:r w:rsidR="006C4983">
        <w:rPr>
          <w:lang w:val="fr-CA"/>
        </w:rPr>
        <w:t xml:space="preserve">appuyer </w:t>
      </w:r>
      <w:r w:rsidRPr="00C43868">
        <w:rPr>
          <w:lang w:val="fr-CA"/>
        </w:rPr>
        <w:t xml:space="preserve">les nouvelles locales. Le syndicat soutient également les mesures visant à protéger les journalistes contre le harcèlement. </w:t>
      </w:r>
    </w:p>
    <w:p w14:paraId="69AA9CD0" w14:textId="77777777" w:rsidR="001F2EB5" w:rsidRPr="00C43868" w:rsidRDefault="001F2EB5" w:rsidP="00F8494C">
      <w:pPr>
        <w:rPr>
          <w:lang w:val="fr-CA"/>
        </w:rPr>
      </w:pPr>
      <w:r w:rsidRPr="00C43868">
        <w:rPr>
          <w:lang w:val="fr-CA"/>
        </w:rPr>
        <w:t>Unifor recommande au gouvernement :</w:t>
      </w:r>
    </w:p>
    <w:p w14:paraId="514ED3F1" w14:textId="66FC9EA2" w:rsidR="001F2EB5" w:rsidRPr="00C43868" w:rsidRDefault="006C4983" w:rsidP="001F2EB5">
      <w:pPr>
        <w:pStyle w:val="ListParagraph"/>
        <w:numPr>
          <w:ilvl w:val="0"/>
          <w:numId w:val="33"/>
        </w:numPr>
        <w:spacing w:before="120" w:after="120" w:line="240" w:lineRule="auto"/>
        <w:contextualSpacing w:val="0"/>
        <w:rPr>
          <w:rFonts w:ascii="Calibri" w:hAnsi="Calibri"/>
          <w:szCs w:val="24"/>
          <w:lang w:val="fr-CA"/>
        </w:rPr>
      </w:pPr>
      <w:r>
        <w:rPr>
          <w:szCs w:val="24"/>
          <w:lang w:val="fr-CA"/>
        </w:rPr>
        <w:t>de c</w:t>
      </w:r>
      <w:r w:rsidR="001F2EB5" w:rsidRPr="00C43868">
        <w:rPr>
          <w:szCs w:val="24"/>
          <w:lang w:val="fr-CA"/>
        </w:rPr>
        <w:t xml:space="preserve">réer un fonds pour les médias d’information locaux dans le cadre de la </w:t>
      </w:r>
      <w:r w:rsidR="001F2EB5" w:rsidRPr="00C43868">
        <w:rPr>
          <w:i/>
          <w:iCs/>
          <w:szCs w:val="24"/>
          <w:lang w:val="fr-CA"/>
        </w:rPr>
        <w:t>Loi sur la diffusion continue en ligne</w:t>
      </w:r>
      <w:r w:rsidR="001F2EB5" w:rsidRPr="00C43868">
        <w:rPr>
          <w:szCs w:val="24"/>
          <w:lang w:val="fr-CA"/>
        </w:rPr>
        <w:t xml:space="preserve"> et </w:t>
      </w:r>
      <w:r>
        <w:rPr>
          <w:szCs w:val="24"/>
          <w:lang w:val="fr-CA"/>
        </w:rPr>
        <w:t>d’</w:t>
      </w:r>
      <w:r w:rsidR="001F2EB5" w:rsidRPr="00C43868">
        <w:rPr>
          <w:szCs w:val="24"/>
          <w:lang w:val="fr-CA"/>
        </w:rPr>
        <w:t xml:space="preserve">exiger des entreprises de diffusion </w:t>
      </w:r>
      <w:r>
        <w:rPr>
          <w:szCs w:val="24"/>
          <w:lang w:val="fr-CA"/>
        </w:rPr>
        <w:t xml:space="preserve">continue </w:t>
      </w:r>
      <w:r w:rsidR="001F2EB5" w:rsidRPr="00C43868">
        <w:rPr>
          <w:szCs w:val="24"/>
          <w:lang w:val="fr-CA"/>
        </w:rPr>
        <w:t xml:space="preserve">en ligne admissibles qu’elles versent une partie de leurs revenus générés au Canada </w:t>
      </w:r>
      <w:r w:rsidR="00920300">
        <w:rPr>
          <w:szCs w:val="24"/>
          <w:lang w:val="fr-CA"/>
        </w:rPr>
        <w:t>à ce</w:t>
      </w:r>
      <w:r w:rsidR="001F2EB5" w:rsidRPr="00C43868">
        <w:rPr>
          <w:szCs w:val="24"/>
          <w:lang w:val="fr-CA"/>
        </w:rPr>
        <w:t xml:space="preserve"> fonds, </w:t>
      </w:r>
      <w:r w:rsidR="00920300">
        <w:rPr>
          <w:szCs w:val="24"/>
          <w:lang w:val="fr-CA"/>
        </w:rPr>
        <w:t xml:space="preserve">lequel </w:t>
      </w:r>
      <w:r w:rsidR="001F2EB5" w:rsidRPr="00C43868">
        <w:rPr>
          <w:szCs w:val="24"/>
          <w:lang w:val="fr-CA"/>
        </w:rPr>
        <w:t xml:space="preserve">serait distribué aux </w:t>
      </w:r>
      <w:r w:rsidR="00920300">
        <w:rPr>
          <w:szCs w:val="24"/>
          <w:lang w:val="fr-CA"/>
        </w:rPr>
        <w:t>organes</w:t>
      </w:r>
      <w:r w:rsidR="001F2EB5" w:rsidRPr="00C43868">
        <w:rPr>
          <w:szCs w:val="24"/>
          <w:lang w:val="fr-CA"/>
        </w:rPr>
        <w:t xml:space="preserve"> d’information admissibles au Canada;</w:t>
      </w:r>
    </w:p>
    <w:p w14:paraId="5825B278" w14:textId="11EB575A" w:rsidR="001F2EB5" w:rsidRPr="00C43868" w:rsidRDefault="00920300" w:rsidP="001F2EB5">
      <w:pPr>
        <w:pStyle w:val="ListParagraph"/>
        <w:numPr>
          <w:ilvl w:val="0"/>
          <w:numId w:val="33"/>
        </w:numPr>
        <w:spacing w:before="120" w:after="120" w:line="240" w:lineRule="auto"/>
        <w:contextualSpacing w:val="0"/>
        <w:rPr>
          <w:szCs w:val="24"/>
          <w:lang w:val="fr-CA"/>
        </w:rPr>
      </w:pPr>
      <w:r>
        <w:rPr>
          <w:szCs w:val="24"/>
          <w:lang w:val="fr-CA"/>
        </w:rPr>
        <w:t xml:space="preserve">de mettre en œuvre une </w:t>
      </w:r>
      <w:r w:rsidR="001F2EB5" w:rsidRPr="00C43868">
        <w:rPr>
          <w:szCs w:val="24"/>
          <w:lang w:val="fr-CA"/>
        </w:rPr>
        <w:t>réglementation</w:t>
      </w:r>
      <w:r>
        <w:rPr>
          <w:szCs w:val="24"/>
          <w:lang w:val="fr-CA"/>
        </w:rPr>
        <w:t xml:space="preserve"> connexe </w:t>
      </w:r>
      <w:r w:rsidR="001F2EB5" w:rsidRPr="00C43868">
        <w:rPr>
          <w:szCs w:val="24"/>
          <w:lang w:val="fr-CA"/>
        </w:rPr>
        <w:t xml:space="preserve">à la </w:t>
      </w:r>
      <w:r w:rsidR="001F2EB5" w:rsidRPr="00C43868">
        <w:rPr>
          <w:i/>
          <w:iCs/>
          <w:szCs w:val="24"/>
          <w:lang w:val="fr-CA"/>
        </w:rPr>
        <w:t>Loi sur les nouvelles en ligne</w:t>
      </w:r>
      <w:r w:rsidR="001F2EB5" w:rsidRPr="00C43868">
        <w:rPr>
          <w:szCs w:val="24"/>
          <w:lang w:val="fr-CA"/>
        </w:rPr>
        <w:t xml:space="preserve"> afin de s’assurer que les géants </w:t>
      </w:r>
      <w:r w:rsidRPr="00C43868">
        <w:rPr>
          <w:szCs w:val="24"/>
          <w:lang w:val="fr-CA"/>
        </w:rPr>
        <w:t xml:space="preserve">étrangers </w:t>
      </w:r>
      <w:r>
        <w:rPr>
          <w:szCs w:val="24"/>
          <w:lang w:val="fr-CA"/>
        </w:rPr>
        <w:t xml:space="preserve">du </w:t>
      </w:r>
      <w:r w:rsidR="001F2EB5" w:rsidRPr="00C43868">
        <w:rPr>
          <w:szCs w:val="24"/>
          <w:lang w:val="fr-CA"/>
        </w:rPr>
        <w:t>numérique paient leur juste part du contenu de nouvelles canadiennes partagé sur leurs plateformes;</w:t>
      </w:r>
    </w:p>
    <w:p w14:paraId="393C9157" w14:textId="6634250B" w:rsidR="001F2EB5" w:rsidRPr="00C43868" w:rsidRDefault="00920300" w:rsidP="001F2EB5">
      <w:pPr>
        <w:pStyle w:val="ListParagraph"/>
        <w:numPr>
          <w:ilvl w:val="0"/>
          <w:numId w:val="33"/>
        </w:numPr>
        <w:spacing w:before="120" w:after="120" w:line="240" w:lineRule="auto"/>
        <w:contextualSpacing w:val="0"/>
        <w:rPr>
          <w:szCs w:val="24"/>
          <w:lang w:val="fr-CA"/>
        </w:rPr>
      </w:pPr>
      <w:r>
        <w:rPr>
          <w:szCs w:val="24"/>
          <w:lang w:val="fr-CA"/>
        </w:rPr>
        <w:t>de r</w:t>
      </w:r>
      <w:r w:rsidR="001F2EB5" w:rsidRPr="00C43868">
        <w:rPr>
          <w:szCs w:val="24"/>
          <w:lang w:val="fr-CA"/>
        </w:rPr>
        <w:t xml:space="preserve">enouveler et </w:t>
      </w:r>
      <w:r>
        <w:rPr>
          <w:szCs w:val="24"/>
          <w:lang w:val="fr-CA"/>
        </w:rPr>
        <w:t>d’</w:t>
      </w:r>
      <w:r w:rsidR="001F2EB5" w:rsidRPr="00C43868">
        <w:rPr>
          <w:szCs w:val="24"/>
          <w:lang w:val="fr-CA"/>
        </w:rPr>
        <w:t xml:space="preserve">élargir l’engagement du gouvernement envers le crédit d’impôt pour la main-d’œuvre journalistique canadienne, y compris une réforme des lois fiscales pour légaliser les dotations philanthropiques en journalisme à tout organisme de presse qualifié, et permettre aux coopératives de presse d’employés </w:t>
      </w:r>
      <w:r>
        <w:rPr>
          <w:szCs w:val="24"/>
          <w:lang w:val="fr-CA"/>
        </w:rPr>
        <w:t xml:space="preserve">ou </w:t>
      </w:r>
      <w:r w:rsidR="001F2EB5" w:rsidRPr="00C43868">
        <w:rPr>
          <w:szCs w:val="24"/>
          <w:lang w:val="fr-CA"/>
        </w:rPr>
        <w:t>de citoyens d’opérer en tant qu’organis</w:t>
      </w:r>
      <w:r>
        <w:rPr>
          <w:szCs w:val="24"/>
          <w:lang w:val="fr-CA"/>
        </w:rPr>
        <w:t xml:space="preserve">mes </w:t>
      </w:r>
      <w:r w:rsidR="001F2EB5" w:rsidRPr="00C43868">
        <w:rPr>
          <w:szCs w:val="24"/>
          <w:lang w:val="fr-CA"/>
        </w:rPr>
        <w:t>à but non lucratif;</w:t>
      </w:r>
    </w:p>
    <w:p w14:paraId="63A09816" w14:textId="70C39E71" w:rsidR="001F2EB5" w:rsidRPr="00C43868" w:rsidRDefault="00920300" w:rsidP="001F2EB5">
      <w:pPr>
        <w:pStyle w:val="ListParagraph"/>
        <w:numPr>
          <w:ilvl w:val="0"/>
          <w:numId w:val="33"/>
        </w:numPr>
        <w:spacing w:before="120" w:after="120" w:line="240" w:lineRule="auto"/>
        <w:contextualSpacing w:val="0"/>
        <w:rPr>
          <w:szCs w:val="24"/>
          <w:lang w:val="fr-CA"/>
        </w:rPr>
      </w:pPr>
      <w:r>
        <w:rPr>
          <w:szCs w:val="24"/>
          <w:lang w:val="fr-CA"/>
        </w:rPr>
        <w:t>de r</w:t>
      </w:r>
      <w:r w:rsidR="001F2EB5" w:rsidRPr="00C43868">
        <w:rPr>
          <w:szCs w:val="24"/>
          <w:lang w:val="fr-CA"/>
        </w:rPr>
        <w:t xml:space="preserve">éformer l’article 19 de la </w:t>
      </w:r>
      <w:r w:rsidR="001F2EB5" w:rsidRPr="00920300">
        <w:rPr>
          <w:i/>
          <w:iCs/>
          <w:szCs w:val="24"/>
          <w:lang w:val="fr-CA"/>
        </w:rPr>
        <w:t>Loi de l’impôt sur le revenu</w:t>
      </w:r>
      <w:r w:rsidR="001F2EB5" w:rsidRPr="00C43868">
        <w:rPr>
          <w:szCs w:val="24"/>
          <w:lang w:val="fr-CA"/>
        </w:rPr>
        <w:t xml:space="preserve"> afin d’étendre les règles limitant la déductibilité fiscale des dépenses publicitaires aux médias étrangers en ligne;</w:t>
      </w:r>
    </w:p>
    <w:p w14:paraId="57A120F1" w14:textId="45886D09" w:rsidR="00AD5C34" w:rsidRPr="00C43868" w:rsidRDefault="00920300" w:rsidP="00AD5C34">
      <w:pPr>
        <w:pStyle w:val="ListParagraph"/>
        <w:numPr>
          <w:ilvl w:val="0"/>
          <w:numId w:val="33"/>
        </w:numPr>
        <w:spacing w:after="0" w:line="240" w:lineRule="auto"/>
        <w:contextualSpacing w:val="0"/>
        <w:rPr>
          <w:szCs w:val="24"/>
          <w:lang w:val="fr-CA"/>
        </w:rPr>
      </w:pPr>
      <w:r>
        <w:rPr>
          <w:szCs w:val="24"/>
          <w:lang w:val="fr-CA"/>
        </w:rPr>
        <w:t>de m</w:t>
      </w:r>
      <w:r w:rsidR="001F2EB5" w:rsidRPr="00C43868">
        <w:rPr>
          <w:szCs w:val="24"/>
          <w:lang w:val="fr-CA"/>
        </w:rPr>
        <w:t xml:space="preserve">ettre en œuvre un processus visant à débusquer et à poursuivre les </w:t>
      </w:r>
      <w:r>
        <w:rPr>
          <w:szCs w:val="24"/>
          <w:lang w:val="fr-CA"/>
        </w:rPr>
        <w:t xml:space="preserve">personnes responsables d’actes </w:t>
      </w:r>
      <w:r w:rsidR="001F2EB5" w:rsidRPr="00C43868">
        <w:rPr>
          <w:szCs w:val="24"/>
          <w:lang w:val="fr-CA"/>
        </w:rPr>
        <w:t>de haine et de harcèlement en ligne, conformément à la lettre ouverte de l’Association canadienne des journalistes à Justin Trudeau, datée du 1</w:t>
      </w:r>
      <w:r w:rsidR="001F2EB5" w:rsidRPr="00C43868">
        <w:rPr>
          <w:szCs w:val="24"/>
          <w:vertAlign w:val="superscript"/>
          <w:lang w:val="fr-CA"/>
        </w:rPr>
        <w:t>er</w:t>
      </w:r>
      <w:r w:rsidR="001F2EB5" w:rsidRPr="00C43868">
        <w:rPr>
          <w:szCs w:val="24"/>
          <w:lang w:val="fr-CA"/>
        </w:rPr>
        <w:t xml:space="preserve"> septembre 2022.</w:t>
      </w:r>
    </w:p>
    <w:p w14:paraId="14BCFBD9" w14:textId="361D6AAF" w:rsidR="001F2EB5" w:rsidRPr="00C43868" w:rsidRDefault="00D14FA9" w:rsidP="001744E1">
      <w:pPr>
        <w:pStyle w:val="Heading2"/>
        <w:numPr>
          <w:ilvl w:val="0"/>
          <w:numId w:val="49"/>
        </w:numPr>
        <w:spacing w:before="240" w:line="240" w:lineRule="auto"/>
        <w:rPr>
          <w:lang w:val="fr-CA"/>
        </w:rPr>
      </w:pPr>
      <w:r w:rsidRPr="00C43868">
        <w:rPr>
          <w:u w:val="none"/>
          <w:lang w:val="fr-CA"/>
        </w:rPr>
        <w:lastRenderedPageBreak/>
        <w:t xml:space="preserve"> </w:t>
      </w:r>
      <w:r w:rsidR="001F2EB5" w:rsidRPr="00C43868">
        <w:rPr>
          <w:lang w:val="fr-CA"/>
        </w:rPr>
        <w:t xml:space="preserve">Accès équitable à </w:t>
      </w:r>
      <w:r w:rsidR="00920300">
        <w:rPr>
          <w:lang w:val="fr-CA"/>
        </w:rPr>
        <w:t xml:space="preserve">Internet haute vitesse et à </w:t>
      </w:r>
      <w:r w:rsidR="001F2EB5" w:rsidRPr="00C43868">
        <w:rPr>
          <w:lang w:val="fr-CA"/>
        </w:rPr>
        <w:t>de bons emplois dans le</w:t>
      </w:r>
      <w:r w:rsidR="00920300">
        <w:rPr>
          <w:lang w:val="fr-CA"/>
        </w:rPr>
        <w:t xml:space="preserve"> secteur des</w:t>
      </w:r>
      <w:r w:rsidR="001F2EB5" w:rsidRPr="00C43868">
        <w:rPr>
          <w:lang w:val="fr-CA"/>
        </w:rPr>
        <w:t xml:space="preserve"> télécommunications</w:t>
      </w:r>
    </w:p>
    <w:p w14:paraId="31166AAE" w14:textId="4647A87A" w:rsidR="001F2EB5" w:rsidRPr="00C43868" w:rsidRDefault="00C655C2" w:rsidP="001F2EB5">
      <w:pPr>
        <w:rPr>
          <w:lang w:val="fr-CA"/>
        </w:rPr>
      </w:pPr>
      <w:r>
        <w:rPr>
          <w:lang w:val="fr-CA"/>
        </w:rPr>
        <w:t xml:space="preserve">Le service internat à haute vitesse </w:t>
      </w:r>
      <w:r w:rsidR="001F2EB5" w:rsidRPr="00C43868">
        <w:rPr>
          <w:lang w:val="fr-CA"/>
        </w:rPr>
        <w:t xml:space="preserve">est devenu un service essentiel qui permet </w:t>
      </w:r>
      <w:r w:rsidR="00890C2B" w:rsidRPr="00C43868">
        <w:rPr>
          <w:lang w:val="fr-CA"/>
        </w:rPr>
        <w:t xml:space="preserve">à la population </w:t>
      </w:r>
      <w:r w:rsidR="001F2EB5" w:rsidRPr="00C43868">
        <w:rPr>
          <w:lang w:val="fr-CA"/>
        </w:rPr>
        <w:t xml:space="preserve">de participer pleinement à la société et d’accéder aux services publics. Le financement </w:t>
      </w:r>
      <w:r w:rsidR="003322E9">
        <w:rPr>
          <w:lang w:val="fr-CA"/>
        </w:rPr>
        <w:t>public</w:t>
      </w:r>
      <w:r w:rsidR="001F2EB5" w:rsidRPr="00C43868">
        <w:rPr>
          <w:lang w:val="fr-CA"/>
        </w:rPr>
        <w:t xml:space="preserve"> de l’infrastructure à haut</w:t>
      </w:r>
      <w:r w:rsidR="003322E9">
        <w:rPr>
          <w:lang w:val="fr-CA"/>
        </w:rPr>
        <w:t>e vitesse</w:t>
      </w:r>
      <w:r w:rsidR="001F2EB5" w:rsidRPr="00C43868">
        <w:rPr>
          <w:lang w:val="fr-CA"/>
        </w:rPr>
        <w:t xml:space="preserve"> </w:t>
      </w:r>
      <w:r w:rsidR="003322E9">
        <w:rPr>
          <w:lang w:val="fr-CA"/>
        </w:rPr>
        <w:t xml:space="preserve">a été attribué </w:t>
      </w:r>
      <w:r w:rsidR="001F2EB5" w:rsidRPr="00C43868">
        <w:rPr>
          <w:lang w:val="fr-CA"/>
        </w:rPr>
        <w:t>à divers fournisseurs de télécommunications, mais ces investissements n’ont pas été assortis d’exigences en matière d’emplois locaux de qualité ou de limites à la délocalisation et à la sous-traitance.</w:t>
      </w:r>
    </w:p>
    <w:p w14:paraId="44076D8D" w14:textId="77777777" w:rsidR="001F2EB5" w:rsidRPr="00C43868" w:rsidRDefault="001F2EB5" w:rsidP="001F2EB5">
      <w:pPr>
        <w:rPr>
          <w:lang w:val="fr-CA"/>
        </w:rPr>
      </w:pPr>
      <w:r w:rsidRPr="00C43868">
        <w:rPr>
          <w:lang w:val="fr-CA"/>
        </w:rPr>
        <w:t>Unifor recommande au gouvernement :</w:t>
      </w:r>
    </w:p>
    <w:p w14:paraId="6C0299FB" w14:textId="0E2F9198" w:rsidR="001F2EB5" w:rsidRPr="00C43868" w:rsidRDefault="00890C2B" w:rsidP="001F2EB5">
      <w:pPr>
        <w:numPr>
          <w:ilvl w:val="0"/>
          <w:numId w:val="15"/>
        </w:numPr>
        <w:rPr>
          <w:lang w:val="fr-CA"/>
        </w:rPr>
      </w:pPr>
      <w:r w:rsidRPr="00C43868">
        <w:rPr>
          <w:lang w:val="fr-CA"/>
        </w:rPr>
        <w:t>de m</w:t>
      </w:r>
      <w:r w:rsidR="001F2EB5" w:rsidRPr="00C43868">
        <w:rPr>
          <w:lang w:val="fr-CA"/>
        </w:rPr>
        <w:t xml:space="preserve">ettre en œuvre une législation exigeant que </w:t>
      </w:r>
      <w:r w:rsidR="007629CC" w:rsidRPr="00C43868">
        <w:rPr>
          <w:lang w:val="fr-CA"/>
        </w:rPr>
        <w:t xml:space="preserve">les </w:t>
      </w:r>
      <w:r w:rsidR="001F2EB5" w:rsidRPr="00C43868">
        <w:rPr>
          <w:lang w:val="fr-CA"/>
        </w:rPr>
        <w:t>entreprise</w:t>
      </w:r>
      <w:r w:rsidR="007629CC" w:rsidRPr="00C43868">
        <w:rPr>
          <w:lang w:val="fr-CA"/>
        </w:rPr>
        <w:t>s</w:t>
      </w:r>
      <w:r w:rsidR="001F2EB5" w:rsidRPr="00C43868">
        <w:rPr>
          <w:lang w:val="fr-CA"/>
        </w:rPr>
        <w:t xml:space="preserve"> de télécommunications recevant des fonds publics rende</w:t>
      </w:r>
      <w:r w:rsidR="007629CC" w:rsidRPr="00C43868">
        <w:rPr>
          <w:lang w:val="fr-CA"/>
        </w:rPr>
        <w:t xml:space="preserve">nt </w:t>
      </w:r>
      <w:r w:rsidR="001F2EB5" w:rsidRPr="00C43868">
        <w:rPr>
          <w:lang w:val="fr-CA"/>
        </w:rPr>
        <w:t xml:space="preserve">compte publiquement de toutes les opérations </w:t>
      </w:r>
      <w:r w:rsidR="00FC65E6">
        <w:rPr>
          <w:lang w:val="fr-CA"/>
        </w:rPr>
        <w:t>confiées en sous-traitance</w:t>
      </w:r>
      <w:r w:rsidR="001F2EB5" w:rsidRPr="00C43868">
        <w:rPr>
          <w:lang w:val="fr-CA"/>
        </w:rPr>
        <w:t xml:space="preserve">, tant </w:t>
      </w:r>
      <w:r w:rsidR="00FC65E6">
        <w:rPr>
          <w:lang w:val="fr-CA"/>
        </w:rPr>
        <w:t xml:space="preserve">à l’échelle </w:t>
      </w:r>
      <w:r w:rsidR="001F2EB5" w:rsidRPr="00C43868">
        <w:rPr>
          <w:lang w:val="fr-CA"/>
        </w:rPr>
        <w:t>national</w:t>
      </w:r>
      <w:r w:rsidR="00FC65E6">
        <w:rPr>
          <w:lang w:val="fr-CA"/>
        </w:rPr>
        <w:t>e</w:t>
      </w:r>
      <w:r w:rsidR="001F2EB5" w:rsidRPr="00C43868">
        <w:rPr>
          <w:lang w:val="fr-CA"/>
        </w:rPr>
        <w:t xml:space="preserve"> qu’à l’étranger;</w:t>
      </w:r>
    </w:p>
    <w:p w14:paraId="3ADA1145" w14:textId="022BD062" w:rsidR="001F2EB5" w:rsidRPr="00C43868" w:rsidRDefault="00890C2B" w:rsidP="001F2EB5">
      <w:pPr>
        <w:numPr>
          <w:ilvl w:val="0"/>
          <w:numId w:val="15"/>
        </w:numPr>
        <w:rPr>
          <w:rFonts w:eastAsiaTheme="minorEastAsia" w:cs="Arial"/>
          <w:color w:val="000000"/>
          <w:szCs w:val="24"/>
          <w:lang w:val="fr-CA"/>
        </w:rPr>
      </w:pPr>
      <w:r w:rsidRPr="00C43868">
        <w:rPr>
          <w:lang w:val="fr-CA"/>
        </w:rPr>
        <w:t>d’é</w:t>
      </w:r>
      <w:r w:rsidR="001F2EB5" w:rsidRPr="00C43868">
        <w:rPr>
          <w:lang w:val="fr-CA"/>
        </w:rPr>
        <w:t xml:space="preserve">tablir des exigences plus strictes en matière de transparence et de déclaration des entreprises grâce à un cadre plus large </w:t>
      </w:r>
      <w:r w:rsidR="00CD1001">
        <w:rPr>
          <w:lang w:val="fr-CA"/>
        </w:rPr>
        <w:t>relatif à</w:t>
      </w:r>
      <w:r w:rsidR="001F2EB5" w:rsidRPr="00C43868">
        <w:rPr>
          <w:lang w:val="fr-CA"/>
        </w:rPr>
        <w:t xml:space="preserve"> la diligence raisonnable;</w:t>
      </w:r>
    </w:p>
    <w:p w14:paraId="43D14A5A" w14:textId="53C9EA19" w:rsidR="00D14FA9" w:rsidRPr="00C43868" w:rsidRDefault="00890C2B" w:rsidP="00D14FA9">
      <w:pPr>
        <w:numPr>
          <w:ilvl w:val="0"/>
          <w:numId w:val="15"/>
        </w:numPr>
        <w:rPr>
          <w:rFonts w:eastAsiaTheme="minorEastAsia" w:cs="Arial"/>
          <w:color w:val="000000"/>
          <w:szCs w:val="24"/>
          <w:lang w:val="fr-CA"/>
        </w:rPr>
      </w:pPr>
      <w:r w:rsidRPr="00C43868">
        <w:rPr>
          <w:rFonts w:eastAsiaTheme="minorEastAsia" w:cs="Arial"/>
          <w:color w:val="000000"/>
          <w:szCs w:val="24"/>
          <w:lang w:val="fr-CA"/>
        </w:rPr>
        <w:t>de g</w:t>
      </w:r>
      <w:r w:rsidR="001F2EB5" w:rsidRPr="00C43868">
        <w:rPr>
          <w:rFonts w:eastAsiaTheme="minorEastAsia" w:cs="Arial"/>
          <w:color w:val="000000"/>
          <w:szCs w:val="24"/>
          <w:lang w:val="fr-CA"/>
        </w:rPr>
        <w:t xml:space="preserve">arantir l’accès universel à des plans </w:t>
      </w:r>
      <w:r w:rsidR="00CD1001">
        <w:rPr>
          <w:rFonts w:eastAsiaTheme="minorEastAsia" w:cs="Arial"/>
          <w:color w:val="000000"/>
          <w:szCs w:val="24"/>
          <w:lang w:val="fr-CA"/>
        </w:rPr>
        <w:t xml:space="preserve">de service </w:t>
      </w:r>
      <w:r w:rsidR="001F2EB5" w:rsidRPr="00C43868">
        <w:rPr>
          <w:rFonts w:eastAsiaTheme="minorEastAsia" w:cs="Arial"/>
          <w:color w:val="000000"/>
          <w:szCs w:val="24"/>
          <w:lang w:val="fr-CA"/>
        </w:rPr>
        <w:t>Internet sans fil et à haut</w:t>
      </w:r>
      <w:r w:rsidR="00CD1001">
        <w:rPr>
          <w:rFonts w:eastAsiaTheme="minorEastAsia" w:cs="Arial"/>
          <w:color w:val="000000"/>
          <w:szCs w:val="24"/>
          <w:lang w:val="fr-CA"/>
        </w:rPr>
        <w:t>e vitesse</w:t>
      </w:r>
      <w:r w:rsidR="001F2EB5" w:rsidRPr="00C43868">
        <w:rPr>
          <w:rFonts w:eastAsiaTheme="minorEastAsia" w:cs="Arial"/>
          <w:color w:val="000000"/>
          <w:szCs w:val="24"/>
          <w:lang w:val="fr-CA"/>
        </w:rPr>
        <w:t xml:space="preserve"> abordables. </w:t>
      </w:r>
    </w:p>
    <w:p w14:paraId="3BE3BCB3" w14:textId="7F38D1C4" w:rsidR="00D14FA9" w:rsidRPr="00C43868" w:rsidRDefault="00D14FA9" w:rsidP="00D14FA9">
      <w:pPr>
        <w:pStyle w:val="Heading1"/>
        <w:rPr>
          <w:rFonts w:eastAsiaTheme="minorEastAsia"/>
          <w:lang w:val="fr-CA"/>
        </w:rPr>
      </w:pPr>
      <w:r w:rsidRPr="00C43868">
        <w:rPr>
          <w:rFonts w:eastAsiaTheme="minorEastAsia"/>
          <w:lang w:val="fr-CA"/>
        </w:rPr>
        <w:t xml:space="preserve">Services publics et recettes publiques </w:t>
      </w:r>
    </w:p>
    <w:p w14:paraId="41BEDEBE" w14:textId="18859AFE" w:rsidR="0081024C" w:rsidRPr="00C43868" w:rsidRDefault="00D14FA9" w:rsidP="002A3056">
      <w:pPr>
        <w:pStyle w:val="Heading2"/>
        <w:numPr>
          <w:ilvl w:val="0"/>
          <w:numId w:val="50"/>
        </w:numPr>
        <w:spacing w:before="240" w:line="240" w:lineRule="auto"/>
        <w:rPr>
          <w:lang w:val="fr-CA"/>
        </w:rPr>
      </w:pPr>
      <w:r w:rsidRPr="00C43868">
        <w:rPr>
          <w:u w:val="none"/>
          <w:lang w:val="fr-CA"/>
        </w:rPr>
        <w:t xml:space="preserve"> </w:t>
      </w:r>
      <w:r w:rsidR="0081024C" w:rsidRPr="00C43868">
        <w:rPr>
          <w:lang w:val="fr-CA"/>
        </w:rPr>
        <w:t>Tenir la promesse de l’assurance-médicaments</w:t>
      </w:r>
      <w:r w:rsidR="00407D9E">
        <w:rPr>
          <w:lang w:val="fr-CA"/>
        </w:rPr>
        <w:t xml:space="preserve"> et</w:t>
      </w:r>
      <w:r w:rsidR="0081024C" w:rsidRPr="00C43868">
        <w:rPr>
          <w:lang w:val="fr-CA"/>
        </w:rPr>
        <w:t xml:space="preserve"> élargir l’accès aux soins dentaires</w:t>
      </w:r>
    </w:p>
    <w:p w14:paraId="5273E54E" w14:textId="17B29F44" w:rsidR="0081024C" w:rsidRPr="00C43868" w:rsidRDefault="0081024C" w:rsidP="007F411B">
      <w:pPr>
        <w:rPr>
          <w:lang w:val="fr-CA"/>
        </w:rPr>
      </w:pPr>
      <w:r w:rsidRPr="00C43868">
        <w:rPr>
          <w:lang w:val="fr-CA"/>
        </w:rPr>
        <w:t xml:space="preserve">Le gouvernement s’est engagé à mettre en </w:t>
      </w:r>
      <w:r w:rsidR="00407D9E">
        <w:rPr>
          <w:lang w:val="fr-CA"/>
        </w:rPr>
        <w:t xml:space="preserve">place </w:t>
      </w:r>
      <w:r w:rsidRPr="00C43868">
        <w:rPr>
          <w:lang w:val="fr-CA"/>
        </w:rPr>
        <w:t xml:space="preserve">le régime d’assurance-médicaments à de multiples reprises. </w:t>
      </w:r>
      <w:r w:rsidR="007F411B" w:rsidRPr="00C43868">
        <w:rPr>
          <w:lang w:val="fr-CA"/>
        </w:rPr>
        <w:t>L’</w:t>
      </w:r>
      <w:r w:rsidRPr="00C43868">
        <w:rPr>
          <w:lang w:val="fr-CA"/>
        </w:rPr>
        <w:t xml:space="preserve">une des conditions de l’accord de confiance et </w:t>
      </w:r>
      <w:r w:rsidR="007F411B" w:rsidRPr="00C43868">
        <w:rPr>
          <w:lang w:val="fr-CA"/>
        </w:rPr>
        <w:t xml:space="preserve">de soutien consiste en l’adoption de la législation sur l’assurance-médicaments d’ici la fin de 2023. Le </w:t>
      </w:r>
      <w:r w:rsidRPr="00C43868">
        <w:rPr>
          <w:lang w:val="fr-CA"/>
        </w:rPr>
        <w:t xml:space="preserve">gouvernement </w:t>
      </w:r>
      <w:r w:rsidR="007F411B" w:rsidRPr="00C43868">
        <w:rPr>
          <w:lang w:val="fr-CA"/>
        </w:rPr>
        <w:t xml:space="preserve">a lancé </w:t>
      </w:r>
      <w:r w:rsidRPr="00C43868">
        <w:rPr>
          <w:lang w:val="fr-CA"/>
        </w:rPr>
        <w:t xml:space="preserve">la première phase de son </w:t>
      </w:r>
      <w:r w:rsidR="00407D9E">
        <w:rPr>
          <w:lang w:val="fr-CA"/>
        </w:rPr>
        <w:t>régime</w:t>
      </w:r>
      <w:r w:rsidRPr="00C43868">
        <w:rPr>
          <w:lang w:val="fr-CA"/>
        </w:rPr>
        <w:t xml:space="preserve"> de soins dentaires. Cependant, un financement supplémentaire est nécessaire pour s’assurer </w:t>
      </w:r>
      <w:r w:rsidR="007F411B" w:rsidRPr="00C43868">
        <w:rPr>
          <w:lang w:val="fr-CA"/>
        </w:rPr>
        <w:t>d’un accès universel</w:t>
      </w:r>
      <w:r w:rsidRPr="00C43868">
        <w:rPr>
          <w:lang w:val="fr-CA"/>
        </w:rPr>
        <w:t>.</w:t>
      </w:r>
    </w:p>
    <w:p w14:paraId="4330C9B6" w14:textId="77777777" w:rsidR="0081024C" w:rsidRPr="00C43868" w:rsidRDefault="0081024C" w:rsidP="00F8494C">
      <w:pPr>
        <w:rPr>
          <w:lang w:val="fr-CA"/>
        </w:rPr>
      </w:pPr>
      <w:r w:rsidRPr="00C43868">
        <w:rPr>
          <w:lang w:val="fr-CA"/>
        </w:rPr>
        <w:t>Unifor recommande au gouvernement :</w:t>
      </w:r>
    </w:p>
    <w:p w14:paraId="264605F6" w14:textId="08430633" w:rsidR="000B1EB0" w:rsidRPr="00C43868" w:rsidRDefault="007F411B" w:rsidP="00F8494C">
      <w:pPr>
        <w:pStyle w:val="ListParagraph"/>
        <w:numPr>
          <w:ilvl w:val="0"/>
          <w:numId w:val="46"/>
        </w:numPr>
        <w:spacing w:after="120"/>
        <w:contextualSpacing w:val="0"/>
        <w:rPr>
          <w:lang w:val="fr-CA"/>
        </w:rPr>
      </w:pPr>
      <w:r w:rsidRPr="00C43868">
        <w:rPr>
          <w:lang w:val="fr-CA"/>
        </w:rPr>
        <w:t>d’a</w:t>
      </w:r>
      <w:r w:rsidR="00D6478E" w:rsidRPr="00C43868">
        <w:rPr>
          <w:lang w:val="fr-CA"/>
        </w:rPr>
        <w:t xml:space="preserve">ssurer un financement adéquat pour réaliser pleinement le </w:t>
      </w:r>
      <w:r w:rsidR="00A61E29" w:rsidRPr="00C43868">
        <w:rPr>
          <w:lang w:val="fr-CA"/>
        </w:rPr>
        <w:t>régime</w:t>
      </w:r>
      <w:r w:rsidR="00D6478E" w:rsidRPr="00C43868">
        <w:rPr>
          <w:lang w:val="fr-CA"/>
        </w:rPr>
        <w:t xml:space="preserve"> universel d’assurance-médicaments</w:t>
      </w:r>
      <w:r w:rsidR="00DE1595" w:rsidRPr="00C43868">
        <w:rPr>
          <w:lang w:val="fr-CA"/>
        </w:rPr>
        <w:t>;</w:t>
      </w:r>
    </w:p>
    <w:p w14:paraId="254BF116" w14:textId="346C0BA6" w:rsidR="00F113C7" w:rsidRPr="00C43868" w:rsidRDefault="007F411B" w:rsidP="00F8494C">
      <w:pPr>
        <w:pStyle w:val="ListParagraph"/>
        <w:numPr>
          <w:ilvl w:val="0"/>
          <w:numId w:val="46"/>
        </w:numPr>
        <w:spacing w:after="120"/>
        <w:contextualSpacing w:val="0"/>
        <w:rPr>
          <w:lang w:val="fr-CA"/>
        </w:rPr>
      </w:pPr>
      <w:r w:rsidRPr="00C43868">
        <w:rPr>
          <w:lang w:val="fr-CA"/>
        </w:rPr>
        <w:t>de r</w:t>
      </w:r>
      <w:r w:rsidR="00AF066A" w:rsidRPr="00C43868">
        <w:rPr>
          <w:lang w:val="fr-CA"/>
        </w:rPr>
        <w:t xml:space="preserve">endre le </w:t>
      </w:r>
      <w:r w:rsidR="00407D9E">
        <w:rPr>
          <w:lang w:val="fr-CA"/>
        </w:rPr>
        <w:t>régime</w:t>
      </w:r>
      <w:r w:rsidR="00AF066A" w:rsidRPr="00C43868">
        <w:rPr>
          <w:lang w:val="fr-CA"/>
        </w:rPr>
        <w:t xml:space="preserve"> de soins dentaires universel. </w:t>
      </w:r>
    </w:p>
    <w:p w14:paraId="104E91B8" w14:textId="77777777" w:rsidR="00D14FA9" w:rsidRPr="00C43868" w:rsidRDefault="00D14FA9" w:rsidP="002A3056">
      <w:pPr>
        <w:pStyle w:val="Heading2"/>
        <w:numPr>
          <w:ilvl w:val="0"/>
          <w:numId w:val="50"/>
        </w:numPr>
        <w:rPr>
          <w:rFonts w:eastAsiaTheme="minorEastAsia"/>
          <w:lang w:val="fr-CA"/>
        </w:rPr>
      </w:pPr>
      <w:r w:rsidRPr="00C43868">
        <w:rPr>
          <w:rFonts w:eastAsiaTheme="minorEastAsia"/>
          <w:u w:val="none"/>
          <w:lang w:val="fr-CA"/>
        </w:rPr>
        <w:t xml:space="preserve"> </w:t>
      </w:r>
      <w:r w:rsidR="000B1EB0" w:rsidRPr="00C43868">
        <w:rPr>
          <w:rFonts w:eastAsiaTheme="minorEastAsia"/>
          <w:lang w:val="fr-CA"/>
        </w:rPr>
        <w:t>Améliorer la surveillance des dépenses de santé</w:t>
      </w:r>
    </w:p>
    <w:p w14:paraId="5B80D8DF" w14:textId="10ED0E07" w:rsidR="00D14FA9" w:rsidRPr="00C43868" w:rsidRDefault="000B1EB0" w:rsidP="00D14FA9">
      <w:pPr>
        <w:rPr>
          <w:lang w:val="fr-CA"/>
        </w:rPr>
      </w:pPr>
      <w:r w:rsidRPr="00C43868">
        <w:rPr>
          <w:lang w:val="fr-CA"/>
        </w:rPr>
        <w:t xml:space="preserve">Les provinces s’appuient de plus en plus sur des </w:t>
      </w:r>
      <w:r w:rsidR="00FE1D73">
        <w:rPr>
          <w:lang w:val="fr-CA"/>
        </w:rPr>
        <w:t>fournisseurs</w:t>
      </w:r>
      <w:r w:rsidRPr="00C43868">
        <w:rPr>
          <w:lang w:val="fr-CA"/>
        </w:rPr>
        <w:t xml:space="preserve"> de services du secteur privé pour fournir des services de soins de santé</w:t>
      </w:r>
      <w:r w:rsidR="00FE1D73">
        <w:rPr>
          <w:lang w:val="fr-CA"/>
        </w:rPr>
        <w:t xml:space="preserve">, une situation </w:t>
      </w:r>
      <w:r w:rsidRPr="00C43868">
        <w:rPr>
          <w:lang w:val="fr-CA"/>
        </w:rPr>
        <w:t xml:space="preserve">inacceptable. Le gouvernement doit s’assurer que les patients ne paient pas de leur poche lorsqu’ils </w:t>
      </w:r>
      <w:r w:rsidR="00F4188C">
        <w:rPr>
          <w:lang w:val="fr-CA"/>
        </w:rPr>
        <w:t xml:space="preserve">obtiennent des </w:t>
      </w:r>
      <w:r w:rsidRPr="00C43868">
        <w:rPr>
          <w:lang w:val="fr-CA"/>
        </w:rPr>
        <w:t xml:space="preserve">soins médicaux. </w:t>
      </w:r>
    </w:p>
    <w:p w14:paraId="2649C4D9" w14:textId="24E760FF" w:rsidR="000B1EB0" w:rsidRPr="00C43868" w:rsidRDefault="000B1EB0" w:rsidP="00D14FA9">
      <w:pPr>
        <w:rPr>
          <w:rFonts w:eastAsiaTheme="minorEastAsia"/>
          <w:lang w:val="fr-CA"/>
        </w:rPr>
      </w:pPr>
      <w:r w:rsidRPr="00C43868">
        <w:rPr>
          <w:lang w:val="fr-CA"/>
        </w:rPr>
        <w:lastRenderedPageBreak/>
        <w:t xml:space="preserve">Unifor recommande au gouvernement : </w:t>
      </w:r>
    </w:p>
    <w:p w14:paraId="7B678395" w14:textId="555EDD1F" w:rsidR="000B1EB0" w:rsidRPr="00C43868" w:rsidRDefault="004D10AB" w:rsidP="00F8494C">
      <w:pPr>
        <w:pStyle w:val="ListParagraph"/>
        <w:numPr>
          <w:ilvl w:val="0"/>
          <w:numId w:val="47"/>
        </w:numPr>
        <w:rPr>
          <w:lang w:val="fr-CA"/>
        </w:rPr>
      </w:pPr>
      <w:r w:rsidRPr="00C43868">
        <w:rPr>
          <w:lang w:val="fr-CA"/>
        </w:rPr>
        <w:t>de c</w:t>
      </w:r>
      <w:r w:rsidR="000B1EB0" w:rsidRPr="00C43868">
        <w:rPr>
          <w:lang w:val="fr-CA"/>
        </w:rPr>
        <w:t>ontinuer à surveiller de près les dépenses des transferts provinciaux en matière de santé pour s’assurer qu’ils ne sont pas utilisés pour soutenir un système de santé privé parallèle</w:t>
      </w:r>
      <w:r w:rsidR="00F4188C">
        <w:rPr>
          <w:lang w:val="fr-CA"/>
        </w:rPr>
        <w:t>,</w:t>
      </w:r>
      <w:r w:rsidRPr="00C43868">
        <w:rPr>
          <w:lang w:val="fr-CA"/>
        </w:rPr>
        <w:t xml:space="preserve"> et </w:t>
      </w:r>
      <w:r w:rsidR="00F4188C">
        <w:rPr>
          <w:lang w:val="fr-CA"/>
        </w:rPr>
        <w:t>d’</w:t>
      </w:r>
      <w:r w:rsidRPr="00C43868">
        <w:rPr>
          <w:lang w:val="fr-CA"/>
        </w:rPr>
        <w:t>a</w:t>
      </w:r>
      <w:r w:rsidR="000B1EB0" w:rsidRPr="00C43868">
        <w:rPr>
          <w:lang w:val="fr-CA"/>
        </w:rPr>
        <w:t>ccroître les mesures d’application de la loi</w:t>
      </w:r>
      <w:r w:rsidR="00F4188C">
        <w:rPr>
          <w:lang w:val="fr-CA"/>
        </w:rPr>
        <w:t>, le cas échéant</w:t>
      </w:r>
      <w:r w:rsidR="000B1EB0" w:rsidRPr="00C43868">
        <w:rPr>
          <w:lang w:val="fr-CA"/>
        </w:rPr>
        <w:t>.</w:t>
      </w:r>
    </w:p>
    <w:p w14:paraId="506F6F05" w14:textId="61BBBA84" w:rsidR="0081024C" w:rsidRPr="00C43868" w:rsidRDefault="00D14FA9" w:rsidP="002A3056">
      <w:pPr>
        <w:pStyle w:val="Heading2"/>
        <w:numPr>
          <w:ilvl w:val="0"/>
          <w:numId w:val="50"/>
        </w:numPr>
        <w:spacing w:before="240" w:line="240" w:lineRule="auto"/>
        <w:rPr>
          <w:lang w:val="fr-CA"/>
        </w:rPr>
      </w:pPr>
      <w:r w:rsidRPr="00C43868">
        <w:rPr>
          <w:u w:val="none"/>
          <w:lang w:val="fr-CA"/>
        </w:rPr>
        <w:t xml:space="preserve"> </w:t>
      </w:r>
      <w:r w:rsidR="0081024C" w:rsidRPr="00C43868">
        <w:rPr>
          <w:lang w:val="fr-CA"/>
        </w:rPr>
        <w:t>Réorienter les soins de longue durée pour améliorer les services</w:t>
      </w:r>
    </w:p>
    <w:p w14:paraId="5E02FD83" w14:textId="6F9A3FEB" w:rsidR="0081024C" w:rsidRPr="00C43868" w:rsidRDefault="0081024C" w:rsidP="00F8494C">
      <w:pPr>
        <w:rPr>
          <w:lang w:val="fr-CA"/>
        </w:rPr>
      </w:pPr>
      <w:r w:rsidRPr="00C43868">
        <w:rPr>
          <w:lang w:val="fr-CA"/>
        </w:rPr>
        <w:t xml:space="preserve">Le gouvernement doit s’assurer que les besoins des aînés dans les établissements de soins de longue durée sont satisfaits. Il ne peut </w:t>
      </w:r>
      <w:r w:rsidR="00D4726A">
        <w:rPr>
          <w:lang w:val="fr-CA"/>
        </w:rPr>
        <w:t xml:space="preserve">pas </w:t>
      </w:r>
      <w:r w:rsidRPr="00C43868">
        <w:rPr>
          <w:lang w:val="fr-CA"/>
        </w:rPr>
        <w:t xml:space="preserve">le faire dans le cadre du modèle actuel qui autorise les soins privés à but lucratif.  </w:t>
      </w:r>
    </w:p>
    <w:p w14:paraId="33C47D9B" w14:textId="77777777" w:rsidR="0081024C" w:rsidRPr="00C43868" w:rsidRDefault="0081024C" w:rsidP="00F8494C">
      <w:pPr>
        <w:rPr>
          <w:lang w:val="fr-CA"/>
        </w:rPr>
      </w:pPr>
      <w:r w:rsidRPr="00C43868">
        <w:rPr>
          <w:lang w:val="fr-CA"/>
        </w:rPr>
        <w:t xml:space="preserve">Unifor recommande au gouvernement : </w:t>
      </w:r>
    </w:p>
    <w:p w14:paraId="1413762F" w14:textId="0050E735" w:rsidR="0081024C" w:rsidRPr="00C43868" w:rsidRDefault="00AF613A" w:rsidP="00F8494C">
      <w:pPr>
        <w:pStyle w:val="ListParagraph"/>
        <w:numPr>
          <w:ilvl w:val="0"/>
          <w:numId w:val="47"/>
        </w:numPr>
        <w:spacing w:after="120"/>
        <w:contextualSpacing w:val="0"/>
        <w:rPr>
          <w:lang w:val="fr-CA"/>
        </w:rPr>
      </w:pPr>
      <w:r w:rsidRPr="00C43868">
        <w:rPr>
          <w:lang w:val="fr-CA"/>
        </w:rPr>
        <w:t>de f</w:t>
      </w:r>
      <w:r w:rsidR="00D6478E" w:rsidRPr="00C43868">
        <w:rPr>
          <w:lang w:val="fr-CA"/>
        </w:rPr>
        <w:t xml:space="preserve">ixer des normes minimales de soins dans le secteur des soins de longue durée, </w:t>
      </w:r>
      <w:r w:rsidR="00D4726A">
        <w:rPr>
          <w:lang w:val="fr-CA"/>
        </w:rPr>
        <w:t xml:space="preserve">de </w:t>
      </w:r>
      <w:r w:rsidR="00D6478E" w:rsidRPr="00C43868">
        <w:rPr>
          <w:lang w:val="fr-CA"/>
        </w:rPr>
        <w:t xml:space="preserve">fournir un financement conditionnel aux provinces pour qu’elles respectent ces normes et </w:t>
      </w:r>
      <w:r w:rsidR="00D4726A">
        <w:rPr>
          <w:lang w:val="fr-CA"/>
        </w:rPr>
        <w:t>d’</w:t>
      </w:r>
      <w:r w:rsidR="00D6478E" w:rsidRPr="00C43868">
        <w:rPr>
          <w:lang w:val="fr-CA"/>
        </w:rPr>
        <w:t>élaborer des stratégies globales en matière de main</w:t>
      </w:r>
      <w:r w:rsidR="00D4726A">
        <w:rPr>
          <w:lang w:val="fr-CA"/>
        </w:rPr>
        <w:noBreakHyphen/>
      </w:r>
      <w:r w:rsidR="00D6478E" w:rsidRPr="00C43868">
        <w:rPr>
          <w:lang w:val="fr-CA"/>
        </w:rPr>
        <w:t>d’œuvre en consultation avec les organisations syndicales;</w:t>
      </w:r>
    </w:p>
    <w:p w14:paraId="49A99881" w14:textId="728BF050" w:rsidR="0081024C" w:rsidRPr="00C43868" w:rsidRDefault="00AF613A" w:rsidP="00F8494C">
      <w:pPr>
        <w:pStyle w:val="ListParagraph"/>
        <w:numPr>
          <w:ilvl w:val="0"/>
          <w:numId w:val="47"/>
        </w:numPr>
        <w:spacing w:after="120"/>
        <w:contextualSpacing w:val="0"/>
        <w:rPr>
          <w:lang w:val="fr-CA"/>
        </w:rPr>
      </w:pPr>
      <w:r w:rsidRPr="00C43868">
        <w:rPr>
          <w:lang w:val="fr-CA"/>
        </w:rPr>
        <w:t>d’é</w:t>
      </w:r>
      <w:r w:rsidR="0081024C" w:rsidRPr="00C43868">
        <w:rPr>
          <w:lang w:val="fr-CA"/>
        </w:rPr>
        <w:t xml:space="preserve">liminer progressivement les centres de soins de longue durée à but lucratif et </w:t>
      </w:r>
      <w:r w:rsidR="00D4726A">
        <w:rPr>
          <w:lang w:val="fr-CA"/>
        </w:rPr>
        <w:t xml:space="preserve">de </w:t>
      </w:r>
      <w:r w:rsidR="0081024C" w:rsidRPr="00C43868">
        <w:rPr>
          <w:lang w:val="fr-CA"/>
        </w:rPr>
        <w:t>faire une transition vers les centres de soins communautaires et publics sans but lucratif</w:t>
      </w:r>
      <w:r w:rsidR="00DE1595" w:rsidRPr="00C43868">
        <w:rPr>
          <w:lang w:val="fr-CA"/>
        </w:rPr>
        <w:t>;</w:t>
      </w:r>
    </w:p>
    <w:p w14:paraId="187BC7EA" w14:textId="4AB57F1B" w:rsidR="0081024C" w:rsidRPr="00C43868" w:rsidRDefault="00AF613A" w:rsidP="00F8494C">
      <w:pPr>
        <w:pStyle w:val="ListParagraph"/>
        <w:numPr>
          <w:ilvl w:val="0"/>
          <w:numId w:val="47"/>
        </w:numPr>
        <w:spacing w:after="120"/>
        <w:contextualSpacing w:val="0"/>
        <w:rPr>
          <w:lang w:val="fr-CA"/>
        </w:rPr>
      </w:pPr>
      <w:r w:rsidRPr="00C43868">
        <w:rPr>
          <w:lang w:val="fr-CA"/>
        </w:rPr>
        <w:t>de f</w:t>
      </w:r>
      <w:r w:rsidR="0081024C" w:rsidRPr="00C43868">
        <w:rPr>
          <w:lang w:val="fr-CA"/>
        </w:rPr>
        <w:t>aire passer immédiatement Revera dans le giron public.</w:t>
      </w:r>
    </w:p>
    <w:p w14:paraId="0282BB82" w14:textId="1FE2079C" w:rsidR="0081024C" w:rsidRPr="00C43868" w:rsidRDefault="00D14FA9" w:rsidP="002A3056">
      <w:pPr>
        <w:pStyle w:val="Heading2"/>
        <w:numPr>
          <w:ilvl w:val="0"/>
          <w:numId w:val="50"/>
        </w:numPr>
        <w:spacing w:before="240" w:line="240" w:lineRule="auto"/>
        <w:rPr>
          <w:lang w:val="fr-CA"/>
        </w:rPr>
      </w:pPr>
      <w:r w:rsidRPr="00C43868">
        <w:rPr>
          <w:u w:val="none"/>
          <w:lang w:val="fr-CA"/>
        </w:rPr>
        <w:t xml:space="preserve"> </w:t>
      </w:r>
      <w:r w:rsidR="0081024C" w:rsidRPr="00C43868">
        <w:rPr>
          <w:lang w:val="fr-CA"/>
        </w:rPr>
        <w:t>Mettre en œuvre la réforme fiscale</w:t>
      </w:r>
    </w:p>
    <w:p w14:paraId="6C600BCB" w14:textId="5D9B1867" w:rsidR="0081024C" w:rsidRPr="00C43868" w:rsidRDefault="005B0258" w:rsidP="00F8494C">
      <w:pPr>
        <w:rPr>
          <w:lang w:val="fr-CA"/>
        </w:rPr>
      </w:pPr>
      <w:r w:rsidRPr="00C43868">
        <w:rPr>
          <w:lang w:val="fr-CA"/>
        </w:rPr>
        <w:t xml:space="preserve">La crise de l’accessibilité financière au Canada se poursuit alors que les entreprises et </w:t>
      </w:r>
      <w:r w:rsidR="009D0AE4">
        <w:rPr>
          <w:lang w:val="fr-CA"/>
        </w:rPr>
        <w:t xml:space="preserve">les plus riches </w:t>
      </w:r>
      <w:r w:rsidRPr="00C43868">
        <w:rPr>
          <w:lang w:val="fr-CA"/>
        </w:rPr>
        <w:t>ont vu leurs profits et leurs marges bénéficiaires augmenter considérablement. Quatre décennies de changements fiscaux exacerbent cette crise en ne redistribuant pas les richesses et en allant directement à l’encontre des objectifs de prospérité partagée. Un certain nombre de modifications fiscales pourraient avoir un impact significatif sur cette disparité</w:t>
      </w:r>
      <w:r w:rsidR="00763779" w:rsidRPr="00C43868">
        <w:rPr>
          <w:rStyle w:val="FootnoteReference"/>
          <w:lang w:val="fr-CA"/>
        </w:rPr>
        <w:footnoteReference w:id="5"/>
      </w:r>
      <w:r w:rsidR="0081024C" w:rsidRPr="00C43868">
        <w:rPr>
          <w:lang w:val="fr-CA"/>
        </w:rPr>
        <w:t xml:space="preserve">. </w:t>
      </w:r>
    </w:p>
    <w:p w14:paraId="3BB152F9" w14:textId="77777777" w:rsidR="0081024C" w:rsidRPr="00C43868" w:rsidRDefault="0081024C" w:rsidP="00F8494C">
      <w:pPr>
        <w:rPr>
          <w:lang w:val="fr-CA"/>
        </w:rPr>
      </w:pPr>
      <w:r w:rsidRPr="00C43868">
        <w:rPr>
          <w:lang w:val="fr-CA"/>
        </w:rPr>
        <w:t xml:space="preserve">Unifor recommande au gouvernement fédéral : </w:t>
      </w:r>
    </w:p>
    <w:p w14:paraId="1CC8FE57" w14:textId="17664485" w:rsidR="0081024C" w:rsidRPr="00C43868" w:rsidRDefault="001A4C99" w:rsidP="00D6478E">
      <w:pPr>
        <w:pStyle w:val="ListParagraph"/>
        <w:numPr>
          <w:ilvl w:val="0"/>
          <w:numId w:val="48"/>
        </w:numPr>
        <w:spacing w:after="120"/>
        <w:contextualSpacing w:val="0"/>
        <w:rPr>
          <w:lang w:val="fr-CA"/>
        </w:rPr>
      </w:pPr>
      <w:r w:rsidRPr="00C43868">
        <w:rPr>
          <w:lang w:val="fr-CA"/>
        </w:rPr>
        <w:t>d’é</w:t>
      </w:r>
      <w:r w:rsidR="00D6478E" w:rsidRPr="00C43868">
        <w:rPr>
          <w:lang w:val="fr-CA"/>
        </w:rPr>
        <w:t xml:space="preserve">tendre la taxe sur les bénéfices exceptionnels, </w:t>
      </w:r>
      <w:r w:rsidRPr="00C43868">
        <w:rPr>
          <w:lang w:val="fr-CA"/>
        </w:rPr>
        <w:t xml:space="preserve">de </w:t>
      </w:r>
      <w:r w:rsidR="00D6478E" w:rsidRPr="00C43868">
        <w:rPr>
          <w:lang w:val="fr-CA"/>
        </w:rPr>
        <w:t xml:space="preserve">la rendre rétroactive à 2021 et 2022 et </w:t>
      </w:r>
      <w:r w:rsidRPr="00C43868">
        <w:rPr>
          <w:lang w:val="fr-CA"/>
        </w:rPr>
        <w:t xml:space="preserve">de </w:t>
      </w:r>
      <w:r w:rsidR="00D6478E" w:rsidRPr="00C43868">
        <w:rPr>
          <w:lang w:val="fr-CA"/>
        </w:rPr>
        <w:t>la rendre permanente</w:t>
      </w:r>
      <w:r w:rsidR="00DE1595" w:rsidRPr="00C43868">
        <w:rPr>
          <w:lang w:val="fr-CA"/>
        </w:rPr>
        <w:t>;</w:t>
      </w:r>
    </w:p>
    <w:p w14:paraId="4587E5E5" w14:textId="0CC9A414" w:rsidR="0081024C" w:rsidRPr="00C43868" w:rsidRDefault="001A4C99" w:rsidP="00F8494C">
      <w:pPr>
        <w:pStyle w:val="ListParagraph"/>
        <w:numPr>
          <w:ilvl w:val="0"/>
          <w:numId w:val="48"/>
        </w:numPr>
        <w:spacing w:after="120"/>
        <w:contextualSpacing w:val="0"/>
        <w:rPr>
          <w:lang w:val="fr-CA"/>
        </w:rPr>
      </w:pPr>
      <w:r w:rsidRPr="00C43868">
        <w:rPr>
          <w:lang w:val="fr-CA"/>
        </w:rPr>
        <w:t>de s</w:t>
      </w:r>
      <w:r w:rsidR="0081024C" w:rsidRPr="00C43868">
        <w:rPr>
          <w:lang w:val="fr-CA"/>
        </w:rPr>
        <w:t xml:space="preserve">upprimer les nombreuses </w:t>
      </w:r>
      <w:r w:rsidR="00300C58">
        <w:rPr>
          <w:lang w:val="fr-CA"/>
        </w:rPr>
        <w:t xml:space="preserve">échappatoires </w:t>
      </w:r>
      <w:r w:rsidR="0081024C" w:rsidRPr="00C43868">
        <w:rPr>
          <w:lang w:val="fr-CA"/>
        </w:rPr>
        <w:t xml:space="preserve">fiscales qui permettent aux </w:t>
      </w:r>
      <w:r w:rsidR="00300C58">
        <w:rPr>
          <w:lang w:val="fr-CA"/>
        </w:rPr>
        <w:t xml:space="preserve">plus riches </w:t>
      </w:r>
      <w:r w:rsidR="0081024C" w:rsidRPr="00C43868">
        <w:rPr>
          <w:lang w:val="fr-CA"/>
        </w:rPr>
        <w:t xml:space="preserve">d’accumuler encore plus de richesses, et </w:t>
      </w:r>
      <w:r w:rsidR="00E0128A" w:rsidRPr="00C43868">
        <w:rPr>
          <w:lang w:val="fr-CA"/>
        </w:rPr>
        <w:t xml:space="preserve">de </w:t>
      </w:r>
      <w:r w:rsidR="0081024C" w:rsidRPr="00C43868">
        <w:rPr>
          <w:lang w:val="fr-CA"/>
        </w:rPr>
        <w:t xml:space="preserve">réprimer les paradis fiscaux; </w:t>
      </w:r>
    </w:p>
    <w:p w14:paraId="098B5C42" w14:textId="0D94AFEB" w:rsidR="0081024C" w:rsidRPr="00C43868" w:rsidRDefault="001A4C99" w:rsidP="009C11B7">
      <w:pPr>
        <w:pStyle w:val="ListParagraph"/>
        <w:numPr>
          <w:ilvl w:val="0"/>
          <w:numId w:val="48"/>
        </w:numPr>
        <w:spacing w:after="120"/>
        <w:contextualSpacing w:val="0"/>
        <w:rPr>
          <w:lang w:val="fr-CA"/>
        </w:rPr>
      </w:pPr>
      <w:r w:rsidRPr="00C43868">
        <w:rPr>
          <w:lang w:val="fr-CA"/>
        </w:rPr>
        <w:t>d’é</w:t>
      </w:r>
      <w:r w:rsidR="00833EE7" w:rsidRPr="00C43868">
        <w:rPr>
          <w:lang w:val="fr-CA"/>
        </w:rPr>
        <w:t xml:space="preserve">largir les règles d’admissibilité aux crédits d’impôt pour l’hydrogène propre et les technologies propres, y compris la définition des propriétés admissibles, et </w:t>
      </w:r>
      <w:r w:rsidR="00833EE7" w:rsidRPr="00C43868">
        <w:rPr>
          <w:lang w:val="fr-CA"/>
        </w:rPr>
        <w:lastRenderedPageBreak/>
        <w:t>veiller à ce que les conditions de travail soient étendues au-delà de la phase de construction et aux crédits d’impôt supplémentaires annoncés dans le budget 2023;</w:t>
      </w:r>
    </w:p>
    <w:p w14:paraId="2B5125D5" w14:textId="769C1F7F" w:rsidR="009C11B7" w:rsidRPr="00C43868" w:rsidRDefault="001A4C99" w:rsidP="009C11B7">
      <w:pPr>
        <w:pStyle w:val="ListParagraph"/>
        <w:numPr>
          <w:ilvl w:val="0"/>
          <w:numId w:val="48"/>
        </w:numPr>
        <w:spacing w:after="120"/>
        <w:contextualSpacing w:val="0"/>
        <w:rPr>
          <w:lang w:val="fr-CA"/>
        </w:rPr>
      </w:pPr>
      <w:r w:rsidRPr="00C43868">
        <w:rPr>
          <w:lang w:val="fr-CA"/>
        </w:rPr>
        <w:t>de r</w:t>
      </w:r>
      <w:r w:rsidR="009C11B7" w:rsidRPr="00C43868">
        <w:rPr>
          <w:lang w:val="fr-CA"/>
        </w:rPr>
        <w:t xml:space="preserve">éorienter les fonds de l’Agence du revenu du Canada actuellement utilisés pour cibler les bénéficiaires de la </w:t>
      </w:r>
      <w:r w:rsidR="00C00734">
        <w:rPr>
          <w:lang w:val="fr-CA"/>
        </w:rPr>
        <w:t>Prestation canadienne d’urgence</w:t>
      </w:r>
      <w:r w:rsidR="009C11B7" w:rsidRPr="00C43868">
        <w:rPr>
          <w:lang w:val="fr-CA"/>
        </w:rPr>
        <w:t xml:space="preserve"> afin de lutter contre l’évasion fiscale à grande échelle. </w:t>
      </w:r>
    </w:p>
    <w:p w14:paraId="7D1EF0E8" w14:textId="03AC5233" w:rsidR="002C72F4" w:rsidRPr="00C43868" w:rsidRDefault="002C72F4" w:rsidP="00F717AC">
      <w:pPr>
        <w:rPr>
          <w:lang w:val="fr-CA"/>
        </w:rPr>
      </w:pPr>
    </w:p>
    <w:p w14:paraId="04DA1CE9" w14:textId="0B8E5FD6" w:rsidR="002C72F4" w:rsidRPr="00C43868" w:rsidRDefault="002C72F4" w:rsidP="00F717AC">
      <w:pPr>
        <w:rPr>
          <w:lang w:val="fr-CA"/>
        </w:rPr>
      </w:pPr>
    </w:p>
    <w:p w14:paraId="6FFF436B" w14:textId="49AF1775" w:rsidR="002C72F4" w:rsidRPr="00C43868" w:rsidRDefault="002C72F4" w:rsidP="00F717AC">
      <w:pPr>
        <w:rPr>
          <w:lang w:val="fr-CA"/>
        </w:rPr>
      </w:pPr>
    </w:p>
    <w:p w14:paraId="5D23C895" w14:textId="320BACBC" w:rsidR="002C72F4" w:rsidRPr="00C43868" w:rsidRDefault="002C72F4" w:rsidP="00F717AC">
      <w:pPr>
        <w:rPr>
          <w:lang w:val="fr-CA"/>
        </w:rPr>
      </w:pPr>
    </w:p>
    <w:p w14:paraId="04EE7D0B" w14:textId="4B14D07F" w:rsidR="002C72F4" w:rsidRPr="00C43868" w:rsidRDefault="002C72F4" w:rsidP="00F717AC">
      <w:pPr>
        <w:rPr>
          <w:lang w:val="fr-CA"/>
        </w:rPr>
      </w:pPr>
    </w:p>
    <w:p w14:paraId="788F6D2D" w14:textId="18057840" w:rsidR="002C72F4" w:rsidRPr="00C43868" w:rsidRDefault="002C72F4" w:rsidP="00F717AC">
      <w:pPr>
        <w:rPr>
          <w:lang w:val="fr-CA"/>
        </w:rPr>
      </w:pPr>
    </w:p>
    <w:p w14:paraId="24E2EDF8" w14:textId="55C1F7A6" w:rsidR="002C72F4" w:rsidRPr="00C43868" w:rsidRDefault="002C72F4" w:rsidP="00F717AC">
      <w:pPr>
        <w:rPr>
          <w:lang w:val="fr-CA"/>
        </w:rPr>
      </w:pPr>
    </w:p>
    <w:p w14:paraId="0D466FE7" w14:textId="06B37F22" w:rsidR="002C72F4" w:rsidRPr="00C43868" w:rsidRDefault="002C72F4" w:rsidP="00F717AC">
      <w:pPr>
        <w:rPr>
          <w:lang w:val="fr-CA"/>
        </w:rPr>
      </w:pPr>
    </w:p>
    <w:p w14:paraId="311E13B6" w14:textId="1C2AB6E7" w:rsidR="002C72F4" w:rsidRPr="00C43868" w:rsidRDefault="002C72F4" w:rsidP="00F717AC">
      <w:pPr>
        <w:rPr>
          <w:lang w:val="fr-CA"/>
        </w:rPr>
      </w:pPr>
    </w:p>
    <w:p w14:paraId="2DB79010" w14:textId="3400E90E" w:rsidR="002C72F4" w:rsidRPr="00C43868" w:rsidRDefault="002C72F4" w:rsidP="00F717AC">
      <w:pPr>
        <w:rPr>
          <w:lang w:val="fr-CA"/>
        </w:rPr>
      </w:pPr>
    </w:p>
    <w:p w14:paraId="4F63DA71" w14:textId="7DFC1F21" w:rsidR="002C72F4" w:rsidRPr="00C43868" w:rsidRDefault="002C72F4" w:rsidP="002C72F4">
      <w:pPr>
        <w:jc w:val="right"/>
        <w:rPr>
          <w:sz w:val="16"/>
          <w:szCs w:val="16"/>
          <w:lang w:val="fr-CA"/>
        </w:rPr>
      </w:pPr>
      <w:r w:rsidRPr="00C43868">
        <w:rPr>
          <w:sz w:val="16"/>
          <w:szCs w:val="16"/>
          <w:lang w:val="fr-CA"/>
        </w:rPr>
        <w:t>KT/ks:sepb343</w:t>
      </w:r>
    </w:p>
    <w:sectPr w:rsidR="002C72F4" w:rsidRPr="00C43868" w:rsidSect="00CD7F30">
      <w:headerReference w:type="even" r:id="rId9"/>
      <w:headerReference w:type="default" r:id="rId10"/>
      <w:footerReference w:type="even" r:id="rId11"/>
      <w:footerReference w:type="default" r:id="rId12"/>
      <w:headerReference w:type="first" r:id="rId13"/>
      <w:footerReference w:type="first" r:id="rId14"/>
      <w:pgSz w:w="12240" w:h="15840"/>
      <w:pgMar w:top="1440" w:right="129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792C7" w14:textId="77777777" w:rsidR="00A46980" w:rsidRDefault="00A46980" w:rsidP="007C6D13">
      <w:pPr>
        <w:spacing w:after="0" w:line="240" w:lineRule="auto"/>
      </w:pPr>
      <w:r>
        <w:separator/>
      </w:r>
    </w:p>
  </w:endnote>
  <w:endnote w:type="continuationSeparator" w:id="0">
    <w:p w14:paraId="1E916226" w14:textId="77777777" w:rsidR="00A46980" w:rsidRDefault="00A46980" w:rsidP="007C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hitney-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7C2C" w14:textId="77777777" w:rsidR="00043C17" w:rsidRDefault="00043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432276"/>
      <w:docPartObj>
        <w:docPartGallery w:val="Page Numbers (Bottom of Page)"/>
        <w:docPartUnique/>
      </w:docPartObj>
    </w:sdtPr>
    <w:sdtEndPr>
      <w:rPr>
        <w:noProof/>
      </w:rPr>
    </w:sdtEndPr>
    <w:sdtContent>
      <w:p w14:paraId="578C0272" w14:textId="48F7AF1B" w:rsidR="007C6D13" w:rsidRDefault="007C6D13">
        <w:pPr>
          <w:pStyle w:val="Footer"/>
          <w:jc w:val="right"/>
        </w:pPr>
        <w:r>
          <w:fldChar w:fldCharType="begin"/>
        </w:r>
        <w:r>
          <w:instrText xml:space="preserve"> PAGE   \* MERGEFORMAT </w:instrText>
        </w:r>
        <w:r>
          <w:fldChar w:fldCharType="separate"/>
        </w:r>
        <w:r w:rsidR="002B6363">
          <w:rPr>
            <w:noProof/>
          </w:rPr>
          <w:t>11</w:t>
        </w:r>
        <w:r>
          <w:rPr>
            <w:noProof/>
          </w:rPr>
          <w:fldChar w:fldCharType="end"/>
        </w:r>
      </w:p>
    </w:sdtContent>
  </w:sdt>
  <w:p w14:paraId="3146B624" w14:textId="77777777" w:rsidR="007C6D13" w:rsidRDefault="007C6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1752" w14:textId="77777777" w:rsidR="00043C17" w:rsidRDefault="00043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DBFA2" w14:textId="77777777" w:rsidR="00A46980" w:rsidRDefault="00A46980" w:rsidP="007C6D13">
      <w:pPr>
        <w:spacing w:after="0" w:line="240" w:lineRule="auto"/>
      </w:pPr>
      <w:r>
        <w:separator/>
      </w:r>
    </w:p>
  </w:footnote>
  <w:footnote w:type="continuationSeparator" w:id="0">
    <w:p w14:paraId="42BDC57A" w14:textId="77777777" w:rsidR="00A46980" w:rsidRDefault="00A46980" w:rsidP="007C6D13">
      <w:pPr>
        <w:spacing w:after="0" w:line="240" w:lineRule="auto"/>
      </w:pPr>
      <w:r>
        <w:continuationSeparator/>
      </w:r>
    </w:p>
  </w:footnote>
  <w:footnote w:id="1">
    <w:p w14:paraId="2E76E684" w14:textId="3565F268" w:rsidR="001744E1" w:rsidRPr="0054162B" w:rsidRDefault="001744E1" w:rsidP="001744E1">
      <w:pPr>
        <w:pStyle w:val="FootnoteText"/>
        <w:rPr>
          <w:lang w:val="fr-CA"/>
        </w:rPr>
      </w:pPr>
      <w:r>
        <w:rPr>
          <w:rStyle w:val="FootnoteReference"/>
        </w:rPr>
        <w:footnoteRef/>
      </w:r>
      <w:r w:rsidRPr="0054162B">
        <w:rPr>
          <w:lang w:val="fr-CA"/>
        </w:rPr>
        <w:t xml:space="preserve"> La liste complète des recommandations d’Unifor pour </w:t>
      </w:r>
      <w:r w:rsidR="00EB3D31">
        <w:rPr>
          <w:lang w:val="fr-CA"/>
        </w:rPr>
        <w:t xml:space="preserve">bonifier </w:t>
      </w:r>
      <w:r w:rsidRPr="0054162B">
        <w:rPr>
          <w:lang w:val="fr-CA"/>
        </w:rPr>
        <w:t>l’</w:t>
      </w:r>
      <w:r w:rsidR="00C43868">
        <w:rPr>
          <w:lang w:val="fr-CA"/>
        </w:rPr>
        <w:t>assurance-emploi</w:t>
      </w:r>
      <w:r w:rsidRPr="0054162B">
        <w:rPr>
          <w:lang w:val="fr-CA"/>
        </w:rPr>
        <w:t xml:space="preserve"> est disponible </w:t>
      </w:r>
      <w:r w:rsidR="00EB3D31">
        <w:rPr>
          <w:lang w:val="fr-CA"/>
        </w:rPr>
        <w:t xml:space="preserve">à l’adresse </w:t>
      </w:r>
      <w:hyperlink r:id="rId1" w:history="1">
        <w:r w:rsidR="00EB3D31" w:rsidRPr="0033293E">
          <w:rPr>
            <w:rStyle w:val="Hyperlink"/>
            <w:lang w:val="fr-CA"/>
          </w:rPr>
          <w:t>https://rebatirenmieux.unifor.org/ae</w:t>
        </w:r>
      </w:hyperlink>
      <w:r w:rsidRPr="0054162B">
        <w:rPr>
          <w:lang w:val="fr-CA"/>
        </w:rPr>
        <w:t>.</w:t>
      </w:r>
    </w:p>
  </w:footnote>
  <w:footnote w:id="2">
    <w:p w14:paraId="63F06A0E" w14:textId="0C778B2B" w:rsidR="003B7DD1" w:rsidRPr="0054162B" w:rsidRDefault="003B7DD1">
      <w:pPr>
        <w:pStyle w:val="FootnoteText"/>
        <w:rPr>
          <w:lang w:val="fr-CA"/>
        </w:rPr>
      </w:pPr>
      <w:r>
        <w:rPr>
          <w:rStyle w:val="FootnoteReference"/>
        </w:rPr>
        <w:footnoteRef/>
      </w:r>
      <w:r w:rsidRPr="0054162B">
        <w:rPr>
          <w:lang w:val="fr-CA"/>
        </w:rPr>
        <w:t xml:space="preserve"> </w:t>
      </w:r>
      <w:r w:rsidR="005B70FA">
        <w:rPr>
          <w:lang w:val="fr-CA"/>
        </w:rPr>
        <w:t xml:space="preserve">Consultez le site </w:t>
      </w:r>
      <w:hyperlink r:id="rId2" w:history="1">
        <w:r w:rsidR="005B70FA" w:rsidRPr="0033293E">
          <w:rPr>
            <w:rStyle w:val="Hyperlink"/>
            <w:lang w:val="fr-CA"/>
          </w:rPr>
          <w:t>https://www.uniforautohub.ca/</w:t>
        </w:r>
      </w:hyperlink>
      <w:r w:rsidR="005B70FA">
        <w:rPr>
          <w:lang w:val="fr-CA"/>
        </w:rPr>
        <w:t xml:space="preserve"> pour la </w:t>
      </w:r>
      <w:r w:rsidRPr="0054162B">
        <w:rPr>
          <w:lang w:val="fr-CA"/>
        </w:rPr>
        <w:t>liste complète des recommandations.</w:t>
      </w:r>
    </w:p>
  </w:footnote>
  <w:footnote w:id="3">
    <w:p w14:paraId="3680D5AE" w14:textId="486038D5" w:rsidR="003B7DD1" w:rsidRPr="0054162B" w:rsidRDefault="003B7DD1">
      <w:pPr>
        <w:pStyle w:val="FootnoteText"/>
        <w:rPr>
          <w:lang w:val="fr-CA"/>
        </w:rPr>
      </w:pPr>
      <w:r>
        <w:rPr>
          <w:rStyle w:val="FootnoteReference"/>
        </w:rPr>
        <w:footnoteRef/>
      </w:r>
      <w:r w:rsidRPr="0054162B">
        <w:rPr>
          <w:lang w:val="fr-CA"/>
        </w:rPr>
        <w:t xml:space="preserve"> </w:t>
      </w:r>
      <w:r w:rsidR="00311F7B">
        <w:rPr>
          <w:lang w:val="fr-CA"/>
        </w:rPr>
        <w:t xml:space="preserve">Assurer </w:t>
      </w:r>
      <w:r w:rsidRPr="0054162B">
        <w:rPr>
          <w:lang w:val="fr-CA"/>
        </w:rPr>
        <w:t xml:space="preserve">un dialogue permanent avec les parties prenantes </w:t>
      </w:r>
      <w:r w:rsidR="00311F7B">
        <w:rPr>
          <w:lang w:val="fr-CA"/>
        </w:rPr>
        <w:t>ainsi qu’</w:t>
      </w:r>
      <w:r w:rsidRPr="0054162B">
        <w:rPr>
          <w:lang w:val="fr-CA"/>
        </w:rPr>
        <w:t>un contrôle public rigoureux.</w:t>
      </w:r>
    </w:p>
  </w:footnote>
  <w:footnote w:id="4">
    <w:p w14:paraId="7955752A" w14:textId="323B1344" w:rsidR="004A1CC9" w:rsidRPr="0054162B" w:rsidRDefault="004A1CC9">
      <w:pPr>
        <w:pStyle w:val="FootnoteText"/>
        <w:rPr>
          <w:lang w:val="fr-CA"/>
        </w:rPr>
      </w:pPr>
      <w:r>
        <w:rPr>
          <w:rStyle w:val="FootnoteReference"/>
        </w:rPr>
        <w:footnoteRef/>
      </w:r>
      <w:r w:rsidRPr="0054162B">
        <w:rPr>
          <w:lang w:val="fr-CA"/>
        </w:rPr>
        <w:t xml:space="preserve"> </w:t>
      </w:r>
      <w:r w:rsidR="00F36C0D">
        <w:rPr>
          <w:lang w:val="fr-CA"/>
        </w:rPr>
        <w:t xml:space="preserve">Consultez la </w:t>
      </w:r>
      <w:r w:rsidR="009F352A">
        <w:rPr>
          <w:lang w:val="fr-CA"/>
        </w:rPr>
        <w:t xml:space="preserve">liste complète des recommandations pour la stratégie nationale en matière de transport en commun à l’adresse </w:t>
      </w:r>
      <w:hyperlink r:id="rId3" w:history="1">
        <w:r w:rsidR="009F352A" w:rsidRPr="00DD389C">
          <w:rPr>
            <w:rStyle w:val="Hyperlink"/>
            <w:lang w:val="fr-CA"/>
          </w:rPr>
          <w:t>https://www.unifor.org/fr/ressources/nos-ressources/maintenir-nos-collectivites-en-mouvement-politique-nationale-dunifor-en</w:t>
        </w:r>
      </w:hyperlink>
      <w:r w:rsidR="009F352A">
        <w:rPr>
          <w:lang w:val="fr-CA"/>
        </w:rPr>
        <w:t xml:space="preserve">. </w:t>
      </w:r>
    </w:p>
  </w:footnote>
  <w:footnote w:id="5">
    <w:p w14:paraId="1356AC70" w14:textId="05CF4F45" w:rsidR="00763779" w:rsidRPr="0054162B" w:rsidRDefault="00763779">
      <w:pPr>
        <w:pStyle w:val="FootnoteText"/>
        <w:rPr>
          <w:lang w:val="fr-CA"/>
        </w:rPr>
      </w:pPr>
      <w:r>
        <w:rPr>
          <w:rStyle w:val="FootnoteReference"/>
        </w:rPr>
        <w:footnoteRef/>
      </w:r>
      <w:r w:rsidR="007A7DA0" w:rsidRPr="0054162B">
        <w:rPr>
          <w:lang w:val="fr-CA"/>
        </w:rPr>
        <w:t xml:space="preserve"> </w:t>
      </w:r>
      <w:r w:rsidR="001715CD">
        <w:rPr>
          <w:lang w:val="fr-CA"/>
        </w:rPr>
        <w:t>Voir le</w:t>
      </w:r>
      <w:r w:rsidR="007A7DA0" w:rsidRPr="0054162B">
        <w:rPr>
          <w:lang w:val="fr-CA"/>
        </w:rPr>
        <w:t xml:space="preserve"> Budget fédéral alternatif</w:t>
      </w:r>
      <w:r w:rsidR="001715CD">
        <w:rPr>
          <w:lang w:val="fr-CA"/>
        </w:rPr>
        <w:t xml:space="preserve"> du CCPA</w:t>
      </w:r>
      <w:r w:rsidR="007A7DA0" w:rsidRPr="0054162B">
        <w:rPr>
          <w:lang w:val="fr-CA"/>
        </w:rPr>
        <w:t xml:space="preserve">, disponible </w:t>
      </w:r>
      <w:r w:rsidR="001715CD">
        <w:rPr>
          <w:lang w:val="fr-CA"/>
        </w:rPr>
        <w:t>à l’adresse</w:t>
      </w:r>
      <w:r w:rsidR="007A7DA0" w:rsidRPr="0054162B">
        <w:rPr>
          <w:lang w:val="fr-CA"/>
        </w:rPr>
        <w:t xml:space="preserve"> </w:t>
      </w:r>
      <w:hyperlink r:id="rId4" w:history="1">
        <w:r w:rsidR="007A7DA0" w:rsidRPr="00C16584">
          <w:rPr>
            <w:rStyle w:val="Hyperlink"/>
            <w:lang w:val="fr-CA"/>
          </w:rPr>
          <w:t>https://policyalternatives.ca/publications/reports/budget-fédéral-alternatif-2023</w:t>
        </w:r>
      </w:hyperlink>
      <w:r w:rsidR="007A7DA0" w:rsidRPr="0054162B">
        <w:rPr>
          <w:lang w:val="fr-CA"/>
        </w:rPr>
        <w:t xml:space="preserve"> </w:t>
      </w:r>
      <w:r w:rsidR="001715CD">
        <w:rPr>
          <w:lang w:val="fr-CA"/>
        </w:rPr>
        <w:t xml:space="preserve">pour </w:t>
      </w:r>
      <w:r w:rsidR="007A7DA0" w:rsidRPr="0054162B">
        <w:rPr>
          <w:lang w:val="fr-CA"/>
        </w:rPr>
        <w:t xml:space="preserve">une liste complète d’options de réformes fiscales progressives.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00F8" w14:textId="77777777" w:rsidR="00043C17" w:rsidRDefault="00043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0D4D" w14:textId="77777777" w:rsidR="00043C17" w:rsidRDefault="00043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D004" w14:textId="77777777" w:rsidR="00043C17" w:rsidRDefault="00043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83A"/>
    <w:multiLevelType w:val="hybridMultilevel"/>
    <w:tmpl w:val="45EAA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4024D7"/>
    <w:multiLevelType w:val="hybridMultilevel"/>
    <w:tmpl w:val="8FDC813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8C098C"/>
    <w:multiLevelType w:val="multilevel"/>
    <w:tmpl w:val="C004E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11E13"/>
    <w:multiLevelType w:val="hybridMultilevel"/>
    <w:tmpl w:val="B386B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F6390A"/>
    <w:multiLevelType w:val="hybridMultilevel"/>
    <w:tmpl w:val="38965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B775EA"/>
    <w:multiLevelType w:val="hybridMultilevel"/>
    <w:tmpl w:val="706C8192"/>
    <w:lvl w:ilvl="0" w:tplc="22D6C55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865C4B"/>
    <w:multiLevelType w:val="hybridMultilevel"/>
    <w:tmpl w:val="4E64E760"/>
    <w:lvl w:ilvl="0" w:tplc="10090001">
      <w:start w:val="1"/>
      <w:numFmt w:val="bullet"/>
      <w:lvlText w:val=""/>
      <w:lvlJc w:val="left"/>
      <w:pPr>
        <w:ind w:left="1080" w:hanging="360"/>
      </w:pPr>
      <w:rPr>
        <w:rFonts w:ascii="Symbol" w:hAnsi="Symbol" w:hint="default"/>
      </w:rPr>
    </w:lvl>
    <w:lvl w:ilvl="1" w:tplc="10090005">
      <w:start w:val="1"/>
      <w:numFmt w:val="bullet"/>
      <w:lvlText w:val=""/>
      <w:lvlJc w:val="left"/>
      <w:pPr>
        <w:ind w:left="1800" w:hanging="360"/>
      </w:pPr>
      <w:rPr>
        <w:rFonts w:ascii="Wingdings" w:hAnsi="Wingding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38F161F"/>
    <w:multiLevelType w:val="hybridMultilevel"/>
    <w:tmpl w:val="8D1878E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3034D"/>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81F16"/>
    <w:multiLevelType w:val="hybridMultilevel"/>
    <w:tmpl w:val="79F40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9E11F9"/>
    <w:multiLevelType w:val="hybridMultilevel"/>
    <w:tmpl w:val="FA948F94"/>
    <w:lvl w:ilvl="0" w:tplc="8C1EF4CA">
      <w:start w:val="1"/>
      <w:numFmt w:val="bullet"/>
      <w:pStyle w:val="BodyTex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0A3DCB"/>
    <w:multiLevelType w:val="hybridMultilevel"/>
    <w:tmpl w:val="B45483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19C27EC"/>
    <w:multiLevelType w:val="hybridMultilevel"/>
    <w:tmpl w:val="70DAEFDC"/>
    <w:lvl w:ilvl="0" w:tplc="22D6C55E">
      <w:start w:val="1"/>
      <w:numFmt w:val="bullet"/>
      <w:lvlText w:val=""/>
      <w:lvlJc w:val="left"/>
      <w:pPr>
        <w:ind w:left="734" w:hanging="360"/>
      </w:pPr>
      <w:rPr>
        <w:rFonts w:ascii="Symbol" w:hAnsi="Symbol" w:hint="default"/>
      </w:rPr>
    </w:lvl>
    <w:lvl w:ilvl="1" w:tplc="10090003" w:tentative="1">
      <w:start w:val="1"/>
      <w:numFmt w:val="bullet"/>
      <w:lvlText w:val="o"/>
      <w:lvlJc w:val="left"/>
      <w:pPr>
        <w:ind w:left="1454" w:hanging="360"/>
      </w:pPr>
      <w:rPr>
        <w:rFonts w:ascii="Courier New" w:hAnsi="Courier New" w:cs="Courier New" w:hint="default"/>
      </w:rPr>
    </w:lvl>
    <w:lvl w:ilvl="2" w:tplc="10090005" w:tentative="1">
      <w:start w:val="1"/>
      <w:numFmt w:val="bullet"/>
      <w:lvlText w:val=""/>
      <w:lvlJc w:val="left"/>
      <w:pPr>
        <w:ind w:left="2174" w:hanging="360"/>
      </w:pPr>
      <w:rPr>
        <w:rFonts w:ascii="Wingdings" w:hAnsi="Wingdings" w:hint="default"/>
      </w:rPr>
    </w:lvl>
    <w:lvl w:ilvl="3" w:tplc="10090001" w:tentative="1">
      <w:start w:val="1"/>
      <w:numFmt w:val="bullet"/>
      <w:lvlText w:val=""/>
      <w:lvlJc w:val="left"/>
      <w:pPr>
        <w:ind w:left="2894" w:hanging="360"/>
      </w:pPr>
      <w:rPr>
        <w:rFonts w:ascii="Symbol" w:hAnsi="Symbol" w:hint="default"/>
      </w:rPr>
    </w:lvl>
    <w:lvl w:ilvl="4" w:tplc="10090003" w:tentative="1">
      <w:start w:val="1"/>
      <w:numFmt w:val="bullet"/>
      <w:lvlText w:val="o"/>
      <w:lvlJc w:val="left"/>
      <w:pPr>
        <w:ind w:left="3614" w:hanging="360"/>
      </w:pPr>
      <w:rPr>
        <w:rFonts w:ascii="Courier New" w:hAnsi="Courier New" w:cs="Courier New" w:hint="default"/>
      </w:rPr>
    </w:lvl>
    <w:lvl w:ilvl="5" w:tplc="10090005" w:tentative="1">
      <w:start w:val="1"/>
      <w:numFmt w:val="bullet"/>
      <w:lvlText w:val=""/>
      <w:lvlJc w:val="left"/>
      <w:pPr>
        <w:ind w:left="4334" w:hanging="360"/>
      </w:pPr>
      <w:rPr>
        <w:rFonts w:ascii="Wingdings" w:hAnsi="Wingdings" w:hint="default"/>
      </w:rPr>
    </w:lvl>
    <w:lvl w:ilvl="6" w:tplc="10090001" w:tentative="1">
      <w:start w:val="1"/>
      <w:numFmt w:val="bullet"/>
      <w:lvlText w:val=""/>
      <w:lvlJc w:val="left"/>
      <w:pPr>
        <w:ind w:left="5054" w:hanging="360"/>
      </w:pPr>
      <w:rPr>
        <w:rFonts w:ascii="Symbol" w:hAnsi="Symbol" w:hint="default"/>
      </w:rPr>
    </w:lvl>
    <w:lvl w:ilvl="7" w:tplc="10090003" w:tentative="1">
      <w:start w:val="1"/>
      <w:numFmt w:val="bullet"/>
      <w:lvlText w:val="o"/>
      <w:lvlJc w:val="left"/>
      <w:pPr>
        <w:ind w:left="5774" w:hanging="360"/>
      </w:pPr>
      <w:rPr>
        <w:rFonts w:ascii="Courier New" w:hAnsi="Courier New" w:cs="Courier New" w:hint="default"/>
      </w:rPr>
    </w:lvl>
    <w:lvl w:ilvl="8" w:tplc="10090005" w:tentative="1">
      <w:start w:val="1"/>
      <w:numFmt w:val="bullet"/>
      <w:lvlText w:val=""/>
      <w:lvlJc w:val="left"/>
      <w:pPr>
        <w:ind w:left="6494" w:hanging="360"/>
      </w:pPr>
      <w:rPr>
        <w:rFonts w:ascii="Wingdings" w:hAnsi="Wingdings" w:hint="default"/>
      </w:rPr>
    </w:lvl>
  </w:abstractNum>
  <w:abstractNum w:abstractNumId="13" w15:restartNumberingAfterBreak="0">
    <w:nsid w:val="28DF213E"/>
    <w:multiLevelType w:val="hybridMultilevel"/>
    <w:tmpl w:val="8D1878E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F74426"/>
    <w:multiLevelType w:val="hybridMultilevel"/>
    <w:tmpl w:val="E81ADC8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9320BFC"/>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4279E3"/>
    <w:multiLevelType w:val="hybridMultilevel"/>
    <w:tmpl w:val="A7EA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87005C"/>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96EC6"/>
    <w:multiLevelType w:val="hybridMultilevel"/>
    <w:tmpl w:val="D0EC7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56510D"/>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00A90"/>
    <w:multiLevelType w:val="hybridMultilevel"/>
    <w:tmpl w:val="E2B6E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3F31F22"/>
    <w:multiLevelType w:val="hybridMultilevel"/>
    <w:tmpl w:val="482045E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34A717F0"/>
    <w:multiLevelType w:val="hybridMultilevel"/>
    <w:tmpl w:val="5DECA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BD42C8"/>
    <w:multiLevelType w:val="multilevel"/>
    <w:tmpl w:val="6814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87792"/>
    <w:multiLevelType w:val="hybridMultilevel"/>
    <w:tmpl w:val="BE8ED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7881326"/>
    <w:multiLevelType w:val="hybridMultilevel"/>
    <w:tmpl w:val="972043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8B54740"/>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E1418C"/>
    <w:multiLevelType w:val="hybridMultilevel"/>
    <w:tmpl w:val="23C80BF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A61368"/>
    <w:multiLevelType w:val="hybridMultilevel"/>
    <w:tmpl w:val="4CB060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3C333FB7"/>
    <w:multiLevelType w:val="hybridMultilevel"/>
    <w:tmpl w:val="9BC8C64C"/>
    <w:lvl w:ilvl="0" w:tplc="84ECB260">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0096838"/>
    <w:multiLevelType w:val="hybridMultilevel"/>
    <w:tmpl w:val="AA1C73E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03B4E51"/>
    <w:multiLevelType w:val="hybridMultilevel"/>
    <w:tmpl w:val="A7EA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0720611"/>
    <w:multiLevelType w:val="hybridMultilevel"/>
    <w:tmpl w:val="482045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1AA4B2F"/>
    <w:multiLevelType w:val="hybridMultilevel"/>
    <w:tmpl w:val="0364970C"/>
    <w:lvl w:ilvl="0" w:tplc="22D6C55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25150E6"/>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115E1"/>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6731E8"/>
    <w:multiLevelType w:val="hybridMultilevel"/>
    <w:tmpl w:val="8FDC813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4C2E4601"/>
    <w:multiLevelType w:val="hybridMultilevel"/>
    <w:tmpl w:val="C244642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4DEF7D15"/>
    <w:multiLevelType w:val="hybridMultilevel"/>
    <w:tmpl w:val="5276E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EA71FF9"/>
    <w:multiLevelType w:val="hybridMultilevel"/>
    <w:tmpl w:val="B3A66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AC6194A"/>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3E596B"/>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0A7AE7"/>
    <w:multiLevelType w:val="hybridMultilevel"/>
    <w:tmpl w:val="F3CEE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9871C6"/>
    <w:multiLevelType w:val="hybridMultilevel"/>
    <w:tmpl w:val="23C80BF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679C0CD0"/>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667C6"/>
    <w:multiLevelType w:val="hybridMultilevel"/>
    <w:tmpl w:val="8D1878E8"/>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8470266"/>
    <w:multiLevelType w:val="hybridMultilevel"/>
    <w:tmpl w:val="79F62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3508A6"/>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2C1AD3"/>
    <w:multiLevelType w:val="hybridMultilevel"/>
    <w:tmpl w:val="6E866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F7207E4"/>
    <w:multiLevelType w:val="hybridMultilevel"/>
    <w:tmpl w:val="C8BEB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0"/>
  </w:num>
  <w:num w:numId="4">
    <w:abstractNumId w:val="11"/>
  </w:num>
  <w:num w:numId="5">
    <w:abstractNumId w:val="18"/>
  </w:num>
  <w:num w:numId="6">
    <w:abstractNumId w:val="14"/>
  </w:num>
  <w:num w:numId="7">
    <w:abstractNumId w:val="21"/>
  </w:num>
  <w:num w:numId="8">
    <w:abstractNumId w:val="32"/>
  </w:num>
  <w:num w:numId="9">
    <w:abstractNumId w:val="43"/>
  </w:num>
  <w:num w:numId="10">
    <w:abstractNumId w:val="27"/>
  </w:num>
  <w:num w:numId="11">
    <w:abstractNumId w:val="36"/>
  </w:num>
  <w:num w:numId="12">
    <w:abstractNumId w:val="1"/>
  </w:num>
  <w:num w:numId="13">
    <w:abstractNumId w:val="37"/>
  </w:num>
  <w:num w:numId="14">
    <w:abstractNumId w:val="5"/>
  </w:num>
  <w:num w:numId="15">
    <w:abstractNumId w:val="4"/>
  </w:num>
  <w:num w:numId="16">
    <w:abstractNumId w:val="0"/>
  </w:num>
  <w:num w:numId="17">
    <w:abstractNumId w:val="22"/>
  </w:num>
  <w:num w:numId="18">
    <w:abstractNumId w:val="24"/>
  </w:num>
  <w:num w:numId="19">
    <w:abstractNumId w:val="15"/>
  </w:num>
  <w:num w:numId="20">
    <w:abstractNumId w:val="2"/>
  </w:num>
  <w:num w:numId="21">
    <w:abstractNumId w:val="23"/>
  </w:num>
  <w:num w:numId="22">
    <w:abstractNumId w:val="6"/>
  </w:num>
  <w:num w:numId="23">
    <w:abstractNumId w:val="3"/>
  </w:num>
  <w:num w:numId="24">
    <w:abstractNumId w:val="38"/>
  </w:num>
  <w:num w:numId="25">
    <w:abstractNumId w:val="42"/>
  </w:num>
  <w:num w:numId="26">
    <w:abstractNumId w:val="20"/>
  </w:num>
  <w:num w:numId="27">
    <w:abstractNumId w:val="9"/>
  </w:num>
  <w:num w:numId="28">
    <w:abstractNumId w:val="46"/>
  </w:num>
  <w:num w:numId="29">
    <w:abstractNumId w:val="39"/>
  </w:num>
  <w:num w:numId="30">
    <w:abstractNumId w:val="28"/>
  </w:num>
  <w:num w:numId="31">
    <w:abstractNumId w:val="45"/>
  </w:num>
  <w:num w:numId="32">
    <w:abstractNumId w:val="29"/>
  </w:num>
  <w:num w:numId="33">
    <w:abstractNumId w:val="25"/>
  </w:num>
  <w:num w:numId="34">
    <w:abstractNumId w:val="33"/>
  </w:num>
  <w:num w:numId="35">
    <w:abstractNumId w:val="12"/>
  </w:num>
  <w:num w:numId="36">
    <w:abstractNumId w:val="49"/>
  </w:num>
  <w:num w:numId="37">
    <w:abstractNumId w:val="48"/>
  </w:num>
  <w:num w:numId="38">
    <w:abstractNumId w:val="10"/>
  </w:num>
  <w:num w:numId="39">
    <w:abstractNumId w:val="44"/>
  </w:num>
  <w:num w:numId="40">
    <w:abstractNumId w:val="34"/>
  </w:num>
  <w:num w:numId="41">
    <w:abstractNumId w:val="47"/>
  </w:num>
  <w:num w:numId="42">
    <w:abstractNumId w:val="17"/>
  </w:num>
  <w:num w:numId="43">
    <w:abstractNumId w:val="8"/>
  </w:num>
  <w:num w:numId="44">
    <w:abstractNumId w:val="41"/>
  </w:num>
  <w:num w:numId="45">
    <w:abstractNumId w:val="35"/>
  </w:num>
  <w:num w:numId="46">
    <w:abstractNumId w:val="19"/>
  </w:num>
  <w:num w:numId="47">
    <w:abstractNumId w:val="26"/>
  </w:num>
  <w:num w:numId="48">
    <w:abstractNumId w:val="40"/>
  </w:num>
  <w:num w:numId="49">
    <w:abstractNumId w:val="1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BD"/>
    <w:rsid w:val="00001BF2"/>
    <w:rsid w:val="000122B4"/>
    <w:rsid w:val="00015E08"/>
    <w:rsid w:val="00043C17"/>
    <w:rsid w:val="00052CCE"/>
    <w:rsid w:val="00055EAB"/>
    <w:rsid w:val="00065696"/>
    <w:rsid w:val="00080D6E"/>
    <w:rsid w:val="00086BCA"/>
    <w:rsid w:val="00094C7A"/>
    <w:rsid w:val="00096B17"/>
    <w:rsid w:val="000A4613"/>
    <w:rsid w:val="000B1EB0"/>
    <w:rsid w:val="000C5A41"/>
    <w:rsid w:val="000D56DC"/>
    <w:rsid w:val="000E410B"/>
    <w:rsid w:val="00107796"/>
    <w:rsid w:val="00107F1A"/>
    <w:rsid w:val="00116B14"/>
    <w:rsid w:val="00124B81"/>
    <w:rsid w:val="00125D5B"/>
    <w:rsid w:val="0013186F"/>
    <w:rsid w:val="00165A32"/>
    <w:rsid w:val="001715CD"/>
    <w:rsid w:val="001744E1"/>
    <w:rsid w:val="00174F5D"/>
    <w:rsid w:val="001A0E09"/>
    <w:rsid w:val="001A3962"/>
    <w:rsid w:val="001A3F20"/>
    <w:rsid w:val="001A41DD"/>
    <w:rsid w:val="001A4C99"/>
    <w:rsid w:val="001B2B06"/>
    <w:rsid w:val="001C0730"/>
    <w:rsid w:val="001C5EB6"/>
    <w:rsid w:val="001C736B"/>
    <w:rsid w:val="001D7BFE"/>
    <w:rsid w:val="001E799A"/>
    <w:rsid w:val="001F2EB5"/>
    <w:rsid w:val="00200ABD"/>
    <w:rsid w:val="002173D5"/>
    <w:rsid w:val="0023337C"/>
    <w:rsid w:val="00233FC9"/>
    <w:rsid w:val="00235355"/>
    <w:rsid w:val="00244AF1"/>
    <w:rsid w:val="0026147F"/>
    <w:rsid w:val="00272821"/>
    <w:rsid w:val="0029546B"/>
    <w:rsid w:val="00296A1F"/>
    <w:rsid w:val="002A1B70"/>
    <w:rsid w:val="002A3056"/>
    <w:rsid w:val="002B6363"/>
    <w:rsid w:val="002C3D90"/>
    <w:rsid w:val="002C72F4"/>
    <w:rsid w:val="002D103C"/>
    <w:rsid w:val="002D2963"/>
    <w:rsid w:val="002E1F5F"/>
    <w:rsid w:val="00300C58"/>
    <w:rsid w:val="00301C43"/>
    <w:rsid w:val="00303484"/>
    <w:rsid w:val="00311F7B"/>
    <w:rsid w:val="00322666"/>
    <w:rsid w:val="003322E9"/>
    <w:rsid w:val="0035714A"/>
    <w:rsid w:val="0036136D"/>
    <w:rsid w:val="003626FB"/>
    <w:rsid w:val="00370EEB"/>
    <w:rsid w:val="00376A92"/>
    <w:rsid w:val="00397D42"/>
    <w:rsid w:val="003A4FDA"/>
    <w:rsid w:val="003B0779"/>
    <w:rsid w:val="003B7DD1"/>
    <w:rsid w:val="003C308D"/>
    <w:rsid w:val="003C542A"/>
    <w:rsid w:val="003C72AD"/>
    <w:rsid w:val="003E62B5"/>
    <w:rsid w:val="00407D9E"/>
    <w:rsid w:val="004127B8"/>
    <w:rsid w:val="00412E3F"/>
    <w:rsid w:val="004315AB"/>
    <w:rsid w:val="00450CF5"/>
    <w:rsid w:val="00462573"/>
    <w:rsid w:val="00465AF7"/>
    <w:rsid w:val="00466ED5"/>
    <w:rsid w:val="00475E37"/>
    <w:rsid w:val="004768F1"/>
    <w:rsid w:val="004A1CC9"/>
    <w:rsid w:val="004A3784"/>
    <w:rsid w:val="004C0470"/>
    <w:rsid w:val="004C585F"/>
    <w:rsid w:val="004D10AB"/>
    <w:rsid w:val="00507703"/>
    <w:rsid w:val="00510B7C"/>
    <w:rsid w:val="00521002"/>
    <w:rsid w:val="00525D22"/>
    <w:rsid w:val="0054162B"/>
    <w:rsid w:val="005748B4"/>
    <w:rsid w:val="00575B1A"/>
    <w:rsid w:val="00576EE6"/>
    <w:rsid w:val="0059120A"/>
    <w:rsid w:val="00595440"/>
    <w:rsid w:val="005A481A"/>
    <w:rsid w:val="005B0258"/>
    <w:rsid w:val="005B3DBF"/>
    <w:rsid w:val="005B70FA"/>
    <w:rsid w:val="005C4938"/>
    <w:rsid w:val="005D66BD"/>
    <w:rsid w:val="005D7A3A"/>
    <w:rsid w:val="005F60D7"/>
    <w:rsid w:val="005F74B9"/>
    <w:rsid w:val="00611031"/>
    <w:rsid w:val="0065035E"/>
    <w:rsid w:val="00651E16"/>
    <w:rsid w:val="00657790"/>
    <w:rsid w:val="006679C9"/>
    <w:rsid w:val="0067700E"/>
    <w:rsid w:val="0068772C"/>
    <w:rsid w:val="00687CA5"/>
    <w:rsid w:val="00692779"/>
    <w:rsid w:val="006A2A5C"/>
    <w:rsid w:val="006B2349"/>
    <w:rsid w:val="006C1CC1"/>
    <w:rsid w:val="006C4983"/>
    <w:rsid w:val="006E1626"/>
    <w:rsid w:val="006E1766"/>
    <w:rsid w:val="006E2A17"/>
    <w:rsid w:val="006F7DEC"/>
    <w:rsid w:val="007116AA"/>
    <w:rsid w:val="00716274"/>
    <w:rsid w:val="00720AD6"/>
    <w:rsid w:val="007216F1"/>
    <w:rsid w:val="00731A88"/>
    <w:rsid w:val="00745DDD"/>
    <w:rsid w:val="00751C70"/>
    <w:rsid w:val="0075782B"/>
    <w:rsid w:val="007602F1"/>
    <w:rsid w:val="007629CC"/>
    <w:rsid w:val="00763779"/>
    <w:rsid w:val="00766EBE"/>
    <w:rsid w:val="00771787"/>
    <w:rsid w:val="00780C83"/>
    <w:rsid w:val="007947A2"/>
    <w:rsid w:val="007A7DA0"/>
    <w:rsid w:val="007B76B6"/>
    <w:rsid w:val="007C6D13"/>
    <w:rsid w:val="007E173D"/>
    <w:rsid w:val="007E2C27"/>
    <w:rsid w:val="007F411B"/>
    <w:rsid w:val="007F4866"/>
    <w:rsid w:val="00807997"/>
    <w:rsid w:val="0081024C"/>
    <w:rsid w:val="008109C8"/>
    <w:rsid w:val="0081183F"/>
    <w:rsid w:val="008237B4"/>
    <w:rsid w:val="00824375"/>
    <w:rsid w:val="00830034"/>
    <w:rsid w:val="00833EE7"/>
    <w:rsid w:val="00840A43"/>
    <w:rsid w:val="00850A81"/>
    <w:rsid w:val="00852099"/>
    <w:rsid w:val="00857273"/>
    <w:rsid w:val="00866859"/>
    <w:rsid w:val="0087075B"/>
    <w:rsid w:val="00883C89"/>
    <w:rsid w:val="008874E6"/>
    <w:rsid w:val="008904DD"/>
    <w:rsid w:val="00890C2B"/>
    <w:rsid w:val="0089578C"/>
    <w:rsid w:val="00895ADA"/>
    <w:rsid w:val="008A7A47"/>
    <w:rsid w:val="008B7039"/>
    <w:rsid w:val="008C18EE"/>
    <w:rsid w:val="008C44FA"/>
    <w:rsid w:val="008D6A9D"/>
    <w:rsid w:val="008E2BD3"/>
    <w:rsid w:val="00910655"/>
    <w:rsid w:val="00920300"/>
    <w:rsid w:val="00922B81"/>
    <w:rsid w:val="009421D6"/>
    <w:rsid w:val="00950F25"/>
    <w:rsid w:val="009726DF"/>
    <w:rsid w:val="0097436D"/>
    <w:rsid w:val="00974E26"/>
    <w:rsid w:val="009758D1"/>
    <w:rsid w:val="00975E72"/>
    <w:rsid w:val="009775A4"/>
    <w:rsid w:val="00991F32"/>
    <w:rsid w:val="009A551A"/>
    <w:rsid w:val="009C11B7"/>
    <w:rsid w:val="009C24C4"/>
    <w:rsid w:val="009D0AE4"/>
    <w:rsid w:val="009D40EC"/>
    <w:rsid w:val="009E1EC6"/>
    <w:rsid w:val="009F352A"/>
    <w:rsid w:val="009F43CC"/>
    <w:rsid w:val="00A1067A"/>
    <w:rsid w:val="00A21565"/>
    <w:rsid w:val="00A223B6"/>
    <w:rsid w:val="00A31091"/>
    <w:rsid w:val="00A37DD2"/>
    <w:rsid w:val="00A46980"/>
    <w:rsid w:val="00A6184C"/>
    <w:rsid w:val="00A61E29"/>
    <w:rsid w:val="00A92D03"/>
    <w:rsid w:val="00AB6663"/>
    <w:rsid w:val="00AB750B"/>
    <w:rsid w:val="00AC6A00"/>
    <w:rsid w:val="00AD5C34"/>
    <w:rsid w:val="00AF066A"/>
    <w:rsid w:val="00AF613A"/>
    <w:rsid w:val="00B0337E"/>
    <w:rsid w:val="00B07B8F"/>
    <w:rsid w:val="00B10CF3"/>
    <w:rsid w:val="00B1324F"/>
    <w:rsid w:val="00B2625C"/>
    <w:rsid w:val="00B26E6B"/>
    <w:rsid w:val="00B509C2"/>
    <w:rsid w:val="00B51C6C"/>
    <w:rsid w:val="00B544F2"/>
    <w:rsid w:val="00B56AFB"/>
    <w:rsid w:val="00B57170"/>
    <w:rsid w:val="00B60C80"/>
    <w:rsid w:val="00B63662"/>
    <w:rsid w:val="00B71E10"/>
    <w:rsid w:val="00B75147"/>
    <w:rsid w:val="00B7784D"/>
    <w:rsid w:val="00B80374"/>
    <w:rsid w:val="00B8078F"/>
    <w:rsid w:val="00B80D90"/>
    <w:rsid w:val="00B825D9"/>
    <w:rsid w:val="00B93778"/>
    <w:rsid w:val="00BD69FA"/>
    <w:rsid w:val="00BF7384"/>
    <w:rsid w:val="00C00734"/>
    <w:rsid w:val="00C169F2"/>
    <w:rsid w:val="00C20A12"/>
    <w:rsid w:val="00C25955"/>
    <w:rsid w:val="00C25EE7"/>
    <w:rsid w:val="00C34AEA"/>
    <w:rsid w:val="00C43868"/>
    <w:rsid w:val="00C4646B"/>
    <w:rsid w:val="00C568D0"/>
    <w:rsid w:val="00C6026D"/>
    <w:rsid w:val="00C655C2"/>
    <w:rsid w:val="00C73691"/>
    <w:rsid w:val="00C84251"/>
    <w:rsid w:val="00C84437"/>
    <w:rsid w:val="00C93F2D"/>
    <w:rsid w:val="00CB027A"/>
    <w:rsid w:val="00CB3321"/>
    <w:rsid w:val="00CC3B7F"/>
    <w:rsid w:val="00CD1001"/>
    <w:rsid w:val="00CD6A6C"/>
    <w:rsid w:val="00CD7F30"/>
    <w:rsid w:val="00CE4251"/>
    <w:rsid w:val="00CF1AB2"/>
    <w:rsid w:val="00CF2236"/>
    <w:rsid w:val="00CF3B2D"/>
    <w:rsid w:val="00D01E22"/>
    <w:rsid w:val="00D1004B"/>
    <w:rsid w:val="00D12444"/>
    <w:rsid w:val="00D144A2"/>
    <w:rsid w:val="00D14FA9"/>
    <w:rsid w:val="00D25D90"/>
    <w:rsid w:val="00D26E49"/>
    <w:rsid w:val="00D271F9"/>
    <w:rsid w:val="00D2733E"/>
    <w:rsid w:val="00D417AC"/>
    <w:rsid w:val="00D42077"/>
    <w:rsid w:val="00D438EA"/>
    <w:rsid w:val="00D4726A"/>
    <w:rsid w:val="00D63EAF"/>
    <w:rsid w:val="00D6478E"/>
    <w:rsid w:val="00D76854"/>
    <w:rsid w:val="00D83431"/>
    <w:rsid w:val="00D8710B"/>
    <w:rsid w:val="00D941AC"/>
    <w:rsid w:val="00DA38B9"/>
    <w:rsid w:val="00DE1595"/>
    <w:rsid w:val="00DE7947"/>
    <w:rsid w:val="00E00B4A"/>
    <w:rsid w:val="00E0128A"/>
    <w:rsid w:val="00E024F7"/>
    <w:rsid w:val="00E0694B"/>
    <w:rsid w:val="00E10BBE"/>
    <w:rsid w:val="00E205A1"/>
    <w:rsid w:val="00E20D2C"/>
    <w:rsid w:val="00E3155A"/>
    <w:rsid w:val="00E37C2A"/>
    <w:rsid w:val="00E538F3"/>
    <w:rsid w:val="00E55B50"/>
    <w:rsid w:val="00E56994"/>
    <w:rsid w:val="00E57C4C"/>
    <w:rsid w:val="00E656A0"/>
    <w:rsid w:val="00E7035E"/>
    <w:rsid w:val="00E835EE"/>
    <w:rsid w:val="00EA54CA"/>
    <w:rsid w:val="00EA79BB"/>
    <w:rsid w:val="00EA7A25"/>
    <w:rsid w:val="00EB3D31"/>
    <w:rsid w:val="00EB5C76"/>
    <w:rsid w:val="00EC2770"/>
    <w:rsid w:val="00EC6E5E"/>
    <w:rsid w:val="00ED18EB"/>
    <w:rsid w:val="00ED64C9"/>
    <w:rsid w:val="00F113C7"/>
    <w:rsid w:val="00F14352"/>
    <w:rsid w:val="00F16A0E"/>
    <w:rsid w:val="00F35E6E"/>
    <w:rsid w:val="00F36C0D"/>
    <w:rsid w:val="00F4188C"/>
    <w:rsid w:val="00F571B2"/>
    <w:rsid w:val="00F66242"/>
    <w:rsid w:val="00F706F1"/>
    <w:rsid w:val="00F71073"/>
    <w:rsid w:val="00F717AC"/>
    <w:rsid w:val="00F805E9"/>
    <w:rsid w:val="00F8494C"/>
    <w:rsid w:val="00FB3580"/>
    <w:rsid w:val="00FC65E6"/>
    <w:rsid w:val="00FD3C08"/>
    <w:rsid w:val="00FE1D73"/>
    <w:rsid w:val="00FE6E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62B3"/>
  <w15:chartTrackingRefBased/>
  <w15:docId w15:val="{62788719-F118-4052-A910-F5E53D0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8D1"/>
    <w:rPr>
      <w:rFonts w:ascii="Arial" w:hAnsi="Arial"/>
      <w:sz w:val="24"/>
    </w:rPr>
  </w:style>
  <w:style w:type="paragraph" w:styleId="Heading1">
    <w:name w:val="heading 1"/>
    <w:basedOn w:val="Normal"/>
    <w:next w:val="Normal"/>
    <w:link w:val="Heading1Char"/>
    <w:uiPriority w:val="9"/>
    <w:qFormat/>
    <w:rsid w:val="00AD5C34"/>
    <w:pPr>
      <w:keepNext/>
      <w:keepLines/>
      <w:spacing w:before="360" w:after="240"/>
      <w:outlineLvl w:val="0"/>
    </w:pPr>
    <w:rPr>
      <w:rFonts w:eastAsiaTheme="majorEastAsia"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AD5C34"/>
    <w:pPr>
      <w:keepNext/>
      <w:keepLines/>
      <w:spacing w:before="280" w:after="240"/>
      <w:outlineLvl w:val="1"/>
    </w:pPr>
    <w:rPr>
      <w:rFonts w:eastAsiaTheme="majorEastAsia" w:cstheme="majorBidi"/>
      <w:b/>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C34"/>
    <w:rPr>
      <w:rFonts w:ascii="Arial" w:eastAsiaTheme="majorEastAsia" w:hAnsi="Arial" w:cstheme="majorBidi"/>
      <w:b/>
      <w:color w:val="000000" w:themeColor="text1"/>
      <w:sz w:val="28"/>
      <w:szCs w:val="32"/>
      <w:u w:val="single"/>
    </w:rPr>
  </w:style>
  <w:style w:type="paragraph" w:styleId="ListParagraph">
    <w:name w:val="List Paragraph"/>
    <w:basedOn w:val="Normal"/>
    <w:uiPriority w:val="34"/>
    <w:qFormat/>
    <w:rsid w:val="005B3DBF"/>
    <w:pPr>
      <w:ind w:left="720"/>
      <w:contextualSpacing/>
    </w:pPr>
  </w:style>
  <w:style w:type="paragraph" w:styleId="Header">
    <w:name w:val="header"/>
    <w:basedOn w:val="Normal"/>
    <w:link w:val="HeaderChar"/>
    <w:uiPriority w:val="99"/>
    <w:unhideWhenUsed/>
    <w:rsid w:val="007C6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13"/>
  </w:style>
  <w:style w:type="paragraph" w:styleId="Footer">
    <w:name w:val="footer"/>
    <w:basedOn w:val="Normal"/>
    <w:link w:val="FooterChar"/>
    <w:uiPriority w:val="99"/>
    <w:unhideWhenUsed/>
    <w:rsid w:val="007C6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13"/>
  </w:style>
  <w:style w:type="character" w:styleId="Hyperlink">
    <w:name w:val="Hyperlink"/>
    <w:basedOn w:val="DefaultParagraphFont"/>
    <w:uiPriority w:val="99"/>
    <w:unhideWhenUsed/>
    <w:rsid w:val="007C6D13"/>
    <w:rPr>
      <w:color w:val="0563C1" w:themeColor="hyperlink"/>
      <w:u w:val="single"/>
    </w:rPr>
  </w:style>
  <w:style w:type="character" w:styleId="CommentReference">
    <w:name w:val="annotation reference"/>
    <w:basedOn w:val="DefaultParagraphFont"/>
    <w:uiPriority w:val="99"/>
    <w:semiHidden/>
    <w:unhideWhenUsed/>
    <w:rsid w:val="00235355"/>
    <w:rPr>
      <w:sz w:val="16"/>
      <w:szCs w:val="16"/>
    </w:rPr>
  </w:style>
  <w:style w:type="paragraph" w:styleId="CommentText">
    <w:name w:val="annotation text"/>
    <w:basedOn w:val="Normal"/>
    <w:link w:val="CommentTextChar"/>
    <w:uiPriority w:val="99"/>
    <w:unhideWhenUsed/>
    <w:rsid w:val="00235355"/>
    <w:pPr>
      <w:spacing w:line="240" w:lineRule="auto"/>
    </w:pPr>
    <w:rPr>
      <w:sz w:val="20"/>
      <w:szCs w:val="20"/>
    </w:rPr>
  </w:style>
  <w:style w:type="character" w:customStyle="1" w:styleId="CommentTextChar">
    <w:name w:val="Comment Text Char"/>
    <w:basedOn w:val="DefaultParagraphFont"/>
    <w:link w:val="CommentText"/>
    <w:uiPriority w:val="99"/>
    <w:rsid w:val="00235355"/>
    <w:rPr>
      <w:sz w:val="20"/>
      <w:szCs w:val="20"/>
    </w:rPr>
  </w:style>
  <w:style w:type="paragraph" w:styleId="CommentSubject">
    <w:name w:val="annotation subject"/>
    <w:basedOn w:val="CommentText"/>
    <w:next w:val="CommentText"/>
    <w:link w:val="CommentSubjectChar"/>
    <w:uiPriority w:val="99"/>
    <w:semiHidden/>
    <w:unhideWhenUsed/>
    <w:rsid w:val="00235355"/>
    <w:rPr>
      <w:b/>
      <w:bCs/>
    </w:rPr>
  </w:style>
  <w:style w:type="character" w:customStyle="1" w:styleId="CommentSubjectChar">
    <w:name w:val="Comment Subject Char"/>
    <w:basedOn w:val="CommentTextChar"/>
    <w:link w:val="CommentSubject"/>
    <w:uiPriority w:val="99"/>
    <w:semiHidden/>
    <w:rsid w:val="00235355"/>
    <w:rPr>
      <w:b/>
      <w:bCs/>
      <w:sz w:val="20"/>
      <w:szCs w:val="20"/>
    </w:rPr>
  </w:style>
  <w:style w:type="paragraph" w:styleId="BalloonText">
    <w:name w:val="Balloon Text"/>
    <w:basedOn w:val="Normal"/>
    <w:link w:val="BalloonTextChar"/>
    <w:uiPriority w:val="99"/>
    <w:semiHidden/>
    <w:unhideWhenUsed/>
    <w:rsid w:val="0023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55"/>
    <w:rPr>
      <w:rFonts w:ascii="Segoe UI" w:hAnsi="Segoe UI" w:cs="Segoe UI"/>
      <w:sz w:val="18"/>
      <w:szCs w:val="18"/>
    </w:rPr>
  </w:style>
  <w:style w:type="paragraph" w:customStyle="1" w:styleId="BodyCopy">
    <w:name w:val="Body Copy"/>
    <w:basedOn w:val="Normal"/>
    <w:uiPriority w:val="99"/>
    <w:rsid w:val="002D103C"/>
    <w:pPr>
      <w:widowControl w:val="0"/>
      <w:tabs>
        <w:tab w:val="left" w:pos="240"/>
      </w:tabs>
      <w:suppressAutoHyphens/>
      <w:autoSpaceDE w:val="0"/>
      <w:autoSpaceDN w:val="0"/>
      <w:adjustRightInd w:val="0"/>
      <w:spacing w:after="180" w:line="280" w:lineRule="atLeast"/>
      <w:textAlignment w:val="center"/>
    </w:pPr>
    <w:rPr>
      <w:rFonts w:ascii="Calibri" w:eastAsiaTheme="minorEastAsia" w:hAnsi="Calibri" w:cs="HelveticaNeue-Light"/>
      <w:color w:val="000000"/>
      <w:sz w:val="18"/>
      <w:szCs w:val="18"/>
      <w:lang w:val="en-US"/>
    </w:rPr>
  </w:style>
  <w:style w:type="paragraph" w:styleId="NormalWeb">
    <w:name w:val="Normal (Web)"/>
    <w:basedOn w:val="Normal"/>
    <w:uiPriority w:val="99"/>
    <w:unhideWhenUsed/>
    <w:rsid w:val="002D103C"/>
    <w:pPr>
      <w:spacing w:before="100" w:beforeAutospacing="1" w:after="100" w:afterAutospacing="1" w:line="240" w:lineRule="auto"/>
    </w:pPr>
    <w:rPr>
      <w:rFonts w:ascii="Times" w:eastAsiaTheme="minorEastAsia" w:hAnsi="Times" w:cs="Times New Roman"/>
      <w:sz w:val="20"/>
      <w:szCs w:val="20"/>
      <w:lang w:val="en-US"/>
    </w:rPr>
  </w:style>
  <w:style w:type="paragraph" w:customStyle="1" w:styleId="TitlePageSubmission">
    <w:name w:val="Title Page Submission"/>
    <w:basedOn w:val="BodyCopy"/>
    <w:qFormat/>
    <w:rsid w:val="002D103C"/>
    <w:pPr>
      <w:spacing w:after="0" w:line="240" w:lineRule="auto"/>
    </w:pPr>
    <w:rPr>
      <w:rFonts w:cs="Whitney-Bold"/>
      <w:b/>
      <w:bCs/>
      <w:color w:val="005EB8"/>
      <w:sz w:val="24"/>
      <w:szCs w:val="24"/>
    </w:rPr>
  </w:style>
  <w:style w:type="paragraph" w:styleId="BodyText">
    <w:name w:val="Body Text"/>
    <w:basedOn w:val="Normal"/>
    <w:link w:val="BodyTextChar"/>
    <w:uiPriority w:val="99"/>
    <w:unhideWhenUsed/>
    <w:rsid w:val="002D103C"/>
    <w:pPr>
      <w:spacing w:after="0" w:line="240" w:lineRule="auto"/>
    </w:pPr>
    <w:rPr>
      <w:rFonts w:asciiTheme="majorHAnsi" w:eastAsiaTheme="minorEastAsia" w:hAnsiTheme="majorHAnsi"/>
      <w:b/>
      <w:color w:val="FF0000"/>
      <w:sz w:val="32"/>
      <w:szCs w:val="32"/>
      <w:lang w:val="en-US"/>
    </w:rPr>
  </w:style>
  <w:style w:type="character" w:customStyle="1" w:styleId="BodyTextChar">
    <w:name w:val="Body Text Char"/>
    <w:basedOn w:val="DefaultParagraphFont"/>
    <w:link w:val="BodyText"/>
    <w:uiPriority w:val="99"/>
    <w:rsid w:val="002D103C"/>
    <w:rPr>
      <w:rFonts w:asciiTheme="majorHAnsi" w:eastAsiaTheme="minorEastAsia" w:hAnsiTheme="majorHAnsi"/>
      <w:b/>
      <w:color w:val="FF0000"/>
      <w:sz w:val="32"/>
      <w:szCs w:val="32"/>
      <w:lang w:val="en-US"/>
    </w:rPr>
  </w:style>
  <w:style w:type="paragraph" w:styleId="NoSpacing">
    <w:name w:val="No Spacing"/>
    <w:uiPriority w:val="1"/>
    <w:qFormat/>
    <w:rsid w:val="002D103C"/>
    <w:pPr>
      <w:spacing w:after="0" w:line="240" w:lineRule="auto"/>
    </w:pPr>
  </w:style>
  <w:style w:type="character" w:customStyle="1" w:styleId="Heading2Char">
    <w:name w:val="Heading 2 Char"/>
    <w:basedOn w:val="DefaultParagraphFont"/>
    <w:link w:val="Heading2"/>
    <w:uiPriority w:val="9"/>
    <w:rsid w:val="00AD5C34"/>
    <w:rPr>
      <w:rFonts w:ascii="Arial" w:eastAsiaTheme="majorEastAsia" w:hAnsi="Arial" w:cstheme="majorBidi"/>
      <w:b/>
      <w:i/>
      <w:color w:val="000000" w:themeColor="text1"/>
      <w:sz w:val="26"/>
      <w:szCs w:val="26"/>
      <w:u w:val="single"/>
    </w:rPr>
  </w:style>
  <w:style w:type="paragraph" w:customStyle="1" w:styleId="BodyText1">
    <w:name w:val="Body Text1"/>
    <w:basedOn w:val="NormalWeb"/>
    <w:autoRedefine/>
    <w:qFormat/>
    <w:rsid w:val="00576EE6"/>
    <w:pPr>
      <w:numPr>
        <w:numId w:val="38"/>
      </w:numPr>
      <w:spacing w:after="210" w:line="210" w:lineRule="atLeast"/>
      <w:outlineLvl w:val="0"/>
    </w:pPr>
    <w:rPr>
      <w:rFonts w:ascii="Arial" w:hAnsi="Arial" w:cs="Arial"/>
      <w:color w:val="000000"/>
      <w:sz w:val="24"/>
      <w:szCs w:val="24"/>
    </w:rPr>
  </w:style>
  <w:style w:type="paragraph" w:styleId="Revision">
    <w:name w:val="Revision"/>
    <w:hidden/>
    <w:uiPriority w:val="99"/>
    <w:semiHidden/>
    <w:rsid w:val="008C44FA"/>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397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D42"/>
    <w:rPr>
      <w:rFonts w:ascii="Arial" w:hAnsi="Arial"/>
      <w:sz w:val="20"/>
      <w:szCs w:val="20"/>
    </w:rPr>
  </w:style>
  <w:style w:type="character" w:styleId="FootnoteReference">
    <w:name w:val="footnote reference"/>
    <w:basedOn w:val="DefaultParagraphFont"/>
    <w:uiPriority w:val="99"/>
    <w:semiHidden/>
    <w:unhideWhenUsed/>
    <w:rsid w:val="00397D42"/>
    <w:rPr>
      <w:vertAlign w:val="superscript"/>
    </w:rPr>
  </w:style>
  <w:style w:type="character" w:customStyle="1" w:styleId="UnresolvedMention1">
    <w:name w:val="Unresolved Mention1"/>
    <w:basedOn w:val="DefaultParagraphFont"/>
    <w:uiPriority w:val="99"/>
    <w:semiHidden/>
    <w:unhideWhenUsed/>
    <w:rsid w:val="007A7DA0"/>
    <w:rPr>
      <w:color w:val="605E5C"/>
      <w:shd w:val="clear" w:color="auto" w:fill="E1DFDD"/>
    </w:rPr>
  </w:style>
  <w:style w:type="character" w:customStyle="1" w:styleId="UnresolvedMention2">
    <w:name w:val="Unresolved Mention2"/>
    <w:basedOn w:val="DefaultParagraphFont"/>
    <w:uiPriority w:val="99"/>
    <w:semiHidden/>
    <w:unhideWhenUsed/>
    <w:rsid w:val="009F352A"/>
    <w:rPr>
      <w:color w:val="605E5C"/>
      <w:shd w:val="clear" w:color="auto" w:fill="E1DFDD"/>
    </w:rPr>
  </w:style>
  <w:style w:type="character" w:styleId="FollowedHyperlink">
    <w:name w:val="FollowedHyperlink"/>
    <w:basedOn w:val="DefaultParagraphFont"/>
    <w:uiPriority w:val="99"/>
    <w:semiHidden/>
    <w:unhideWhenUsed/>
    <w:rsid w:val="005B7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20877">
      <w:bodyDiv w:val="1"/>
      <w:marLeft w:val="0"/>
      <w:marRight w:val="0"/>
      <w:marTop w:val="0"/>
      <w:marBottom w:val="0"/>
      <w:divBdr>
        <w:top w:val="none" w:sz="0" w:space="0" w:color="auto"/>
        <w:left w:val="none" w:sz="0" w:space="0" w:color="auto"/>
        <w:bottom w:val="none" w:sz="0" w:space="0" w:color="auto"/>
        <w:right w:val="none" w:sz="0" w:space="0" w:color="auto"/>
      </w:divBdr>
    </w:div>
    <w:div w:id="16534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ifor.org/fr/ressources/nos-ressources/maintenir-nos-collectivites-en-mouvement-politique-nationale-dunifor-en" TargetMode="External"/><Relationship Id="rId2" Type="http://schemas.openxmlformats.org/officeDocument/2006/relationships/hyperlink" Target="https://www.uniforautohub.ca/" TargetMode="External"/><Relationship Id="rId1" Type="http://schemas.openxmlformats.org/officeDocument/2006/relationships/hyperlink" Target="https://rebatirenmieux.unifor.org/ae" TargetMode="External"/><Relationship Id="rId4" Type="http://schemas.openxmlformats.org/officeDocument/2006/relationships/hyperlink" Target="https://policyalternatives.ca/publications/reports/budget-f&#233;d&#233;ral-alternatif-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BFE4-4DF1-4514-823E-D2BD1F82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3003</Words>
  <Characters>17123</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Tiessen</dc:creator>
  <cp:keywords/>
  <dc:description/>
  <cp:lastModifiedBy>Kaylie Tiessen</cp:lastModifiedBy>
  <cp:revision>2</cp:revision>
  <cp:lastPrinted>2023-07-21T13:01:00Z</cp:lastPrinted>
  <dcterms:created xsi:type="dcterms:W3CDTF">2023-08-11T13:46:00Z</dcterms:created>
  <dcterms:modified xsi:type="dcterms:W3CDTF">2023-08-11T13:46:00Z</dcterms:modified>
</cp:coreProperties>
</file>