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9B" w:rsidRPr="0059109B" w:rsidRDefault="0059109B" w:rsidP="0059109B">
      <w:pPr>
        <w:shd w:val="clear" w:color="auto" w:fill="FFFFFF"/>
        <w:jc w:val="center"/>
        <w:rPr>
          <w:rFonts w:ascii="Whitney Book" w:hAnsi="Whitney Book"/>
          <w:b/>
          <w:i/>
          <w:sz w:val="24"/>
          <w:szCs w:val="24"/>
          <w:lang w:val="fr-CA" w:eastAsia="en-CA"/>
        </w:rPr>
      </w:pPr>
      <w:bookmarkStart w:id="0" w:name="_Hlk89685327"/>
      <w:r w:rsidRPr="0059109B">
        <w:rPr>
          <w:rFonts w:ascii="Whitney Book" w:hAnsi="Whitney Book"/>
          <w:b/>
          <w:i/>
          <w:sz w:val="24"/>
          <w:szCs w:val="24"/>
          <w:lang w:val="fr-CA" w:eastAsia="en-CA"/>
        </w:rPr>
        <w:t>Campagne #AnswerTheCalls de l’Association des femmes autochtones du Canada</w:t>
      </w:r>
    </w:p>
    <w:p w:rsidR="0059109B" w:rsidRPr="0059109B" w:rsidRDefault="0059109B" w:rsidP="0059109B">
      <w:pPr>
        <w:shd w:val="clear" w:color="auto" w:fill="FFFFFF"/>
        <w:spacing w:after="300"/>
        <w:jc w:val="both"/>
        <w:rPr>
          <w:rFonts w:ascii="Whitney Book" w:hAnsi="Whitney Book"/>
          <w:sz w:val="24"/>
          <w:szCs w:val="24"/>
          <w:lang w:val="fr-CA" w:eastAsia="en-CA"/>
        </w:rPr>
      </w:pPr>
      <w:bookmarkStart w:id="1" w:name="_GoBack"/>
      <w:bookmarkEnd w:id="1"/>
      <w:r w:rsidRPr="0059109B">
        <w:rPr>
          <w:rFonts w:ascii="Whitney Book" w:hAnsi="Whitney Book"/>
          <w:sz w:val="24"/>
          <w:szCs w:val="24"/>
          <w:lang w:val="fr-CA" w:eastAsia="en-CA"/>
        </w:rPr>
        <w:t>L’Association des femmes autochtones du Canada (AFAC) a annoncé le lancement de la campagne #AnswerTheCalls : 16 jours d’action pour exiger des progrès réels dans la lutte contre la violence à l’égard des femmes et des filles autochtones ainsi que des membres de la communauté 2SLGBTQQIA autochtones (bispirituelles, lesbiennes, gaies, bisexuelles, transgenre, queer, en questionnement, intersexuées et asexuelles).</w:t>
      </w:r>
    </w:p>
    <w:p w:rsidR="0059109B" w:rsidRPr="0059109B" w:rsidRDefault="0059109B" w:rsidP="0059109B">
      <w:pPr>
        <w:shd w:val="clear" w:color="auto" w:fill="FFFFFF"/>
        <w:spacing w:after="300"/>
        <w:jc w:val="both"/>
        <w:rPr>
          <w:rFonts w:ascii="Whitney Book" w:hAnsi="Whitney Book"/>
          <w:sz w:val="24"/>
          <w:szCs w:val="24"/>
          <w:lang w:val="fr-CA" w:eastAsia="en-CA"/>
        </w:rPr>
      </w:pPr>
      <w:r w:rsidRPr="0059109B">
        <w:rPr>
          <w:rFonts w:ascii="Whitney Book" w:hAnsi="Whitney Book"/>
          <w:sz w:val="24"/>
          <w:szCs w:val="24"/>
          <w:lang w:val="fr-CA" w:eastAsia="en-CA"/>
        </w:rPr>
        <w:t>La campagne a débuté le 25 novembre, date du 40</w:t>
      </w:r>
      <w:r w:rsidRPr="0059109B">
        <w:rPr>
          <w:rFonts w:ascii="Whitney Book" w:hAnsi="Whitney Book"/>
          <w:sz w:val="24"/>
          <w:szCs w:val="24"/>
          <w:vertAlign w:val="superscript"/>
          <w:lang w:val="fr-CA" w:eastAsia="en-CA"/>
        </w:rPr>
        <w:t>e</w:t>
      </w:r>
      <w:r w:rsidRPr="0059109B">
        <w:rPr>
          <w:rFonts w:ascii="Whitney Book" w:hAnsi="Whitney Book"/>
          <w:sz w:val="24"/>
          <w:szCs w:val="24"/>
          <w:lang w:val="fr-CA" w:eastAsia="en-CA"/>
        </w:rPr>
        <w:t xml:space="preserve"> anniversaire de la Journée internationale pour l’élimination de la violence à l’égard des femmes, et se termine le 10 décembre, lors de la Journée internationale des droits de la personne.</w:t>
      </w:r>
    </w:p>
    <w:p w:rsidR="0059109B" w:rsidRPr="0059109B" w:rsidRDefault="0059109B" w:rsidP="0059109B">
      <w:pPr>
        <w:shd w:val="clear" w:color="auto" w:fill="FFFFFF"/>
        <w:spacing w:after="300"/>
        <w:jc w:val="both"/>
        <w:rPr>
          <w:rFonts w:ascii="Whitney Book" w:hAnsi="Whitney Book"/>
          <w:sz w:val="24"/>
          <w:szCs w:val="24"/>
          <w:lang w:val="fr-CA" w:eastAsia="en-CA"/>
        </w:rPr>
      </w:pPr>
      <w:r w:rsidRPr="0059109B">
        <w:rPr>
          <w:rFonts w:ascii="Whitney Book" w:hAnsi="Whitney Book"/>
          <w:sz w:val="24"/>
          <w:szCs w:val="24"/>
          <w:lang w:val="fr-CA" w:eastAsia="en-CA"/>
        </w:rPr>
        <w:t>« Il est temps d’arrêter de parler des innombrables assassinats et disparitions de femmes, de filles et de personnes 2SLGBTQQIA autochtones, a déclaré Lynne Groulx, présidente-directrice générale de l’AFAC. Heureusement, nous savons quelles mesures doivent être prises pour mettre fin à la violence puisqu’elles ont été énoncées dans les 231 appels à la justice dans l’Enquête nationale sur les femmes et les filles autochtones disparues et assassinées.</w:t>
      </w:r>
    </w:p>
    <w:p w:rsidR="0059109B" w:rsidRPr="0059109B" w:rsidRDefault="0059109B" w:rsidP="0059109B">
      <w:pPr>
        <w:shd w:val="clear" w:color="auto" w:fill="FFFFFF"/>
        <w:spacing w:after="300"/>
        <w:jc w:val="both"/>
        <w:rPr>
          <w:rFonts w:ascii="Whitney Book" w:hAnsi="Whitney Book"/>
          <w:sz w:val="24"/>
          <w:szCs w:val="24"/>
          <w:lang w:val="fr-CA" w:eastAsia="en-CA"/>
        </w:rPr>
      </w:pPr>
      <w:r w:rsidRPr="0059109B">
        <w:rPr>
          <w:rFonts w:ascii="Whitney Book" w:hAnsi="Whitney Book"/>
          <w:sz w:val="24"/>
          <w:szCs w:val="24"/>
          <w:lang w:val="fr-CA" w:eastAsia="en-CA"/>
        </w:rPr>
        <w:t>Au cours de ces 16 jours de militantisme, l’AFAC soulignera huit appels à la justice que le gouvernement fédéral doit rapidement commencer à mettre en œuvre. La campagne traitera aussi des huit appels destinés aux membres du public afin que chaque Canadienne et Canadien puisse comprendre comment il fait partie de la solution.</w:t>
      </w:r>
    </w:p>
    <w:p w:rsidR="0059109B" w:rsidRPr="0059109B" w:rsidRDefault="0059109B" w:rsidP="0059109B">
      <w:pPr>
        <w:shd w:val="clear" w:color="auto" w:fill="FFFFFF"/>
        <w:spacing w:after="300"/>
        <w:jc w:val="both"/>
        <w:rPr>
          <w:rFonts w:ascii="Whitney Book" w:hAnsi="Whitney Book"/>
          <w:sz w:val="24"/>
          <w:szCs w:val="24"/>
          <w:lang w:val="fr-CA" w:eastAsia="en-CA"/>
        </w:rPr>
      </w:pPr>
      <w:r w:rsidRPr="0059109B">
        <w:rPr>
          <w:rFonts w:ascii="Whitney Book" w:hAnsi="Whitney Book"/>
          <w:sz w:val="24"/>
          <w:szCs w:val="24"/>
          <w:lang w:val="fr-CA" w:eastAsia="en-CA"/>
        </w:rPr>
        <w:t xml:space="preserve">L’AFAC révélera également les 16 actions qu’elle a déjà entreprises dans le cadre de son plan </w:t>
      </w:r>
      <w:r w:rsidRPr="0059109B">
        <w:rPr>
          <w:rFonts w:ascii="Whitney Book" w:hAnsi="Whitney Book"/>
          <w:i/>
          <w:iCs/>
          <w:sz w:val="24"/>
          <w:szCs w:val="24"/>
          <w:lang w:val="fr-CA" w:eastAsia="en-CA"/>
        </w:rPr>
        <w:t>Nos appels, nos actions</w:t>
      </w:r>
      <w:r w:rsidRPr="0059109B">
        <w:rPr>
          <w:rFonts w:ascii="Whitney Book" w:hAnsi="Whitney Book"/>
          <w:sz w:val="24"/>
          <w:szCs w:val="24"/>
          <w:lang w:val="fr-CA" w:eastAsia="en-CA"/>
        </w:rPr>
        <w:t>, qui a été publié au printemps dernier et qui décrit plus de 65 actions chiffrées et mesurables que l’organisation elle-même entreprend pour répondre aux appels à la justice.</w:t>
      </w:r>
    </w:p>
    <w:p w:rsidR="0059109B" w:rsidRPr="0059109B" w:rsidRDefault="0059109B" w:rsidP="0059109B">
      <w:pPr>
        <w:shd w:val="clear" w:color="auto" w:fill="FFFFFF"/>
        <w:jc w:val="both"/>
        <w:rPr>
          <w:rFonts w:ascii="Whitney Book" w:hAnsi="Whitney Book"/>
          <w:color w:val="203864"/>
          <w:sz w:val="24"/>
          <w:szCs w:val="24"/>
          <w:lang w:val="fr-CA" w:eastAsia="en-CA"/>
        </w:rPr>
      </w:pPr>
      <w:r w:rsidRPr="0059109B">
        <w:rPr>
          <w:rFonts w:ascii="Whitney Book" w:hAnsi="Whitney Book"/>
          <w:sz w:val="24"/>
          <w:szCs w:val="24"/>
          <w:lang w:val="fr-CA" w:eastAsia="en-CA"/>
        </w:rPr>
        <w:t xml:space="preserve">La campagne #AnswerTheCalls de l’AFAC est présentée sur les médias sociaux à @NWAC_CA sur Twitter, à @NWAC.AFAC sur Facebook, et sur le site Web à l’adresse </w:t>
      </w:r>
      <w:hyperlink r:id="rId6" w:history="1">
        <w:r w:rsidRPr="0059109B">
          <w:rPr>
            <w:rStyle w:val="Hyperlink"/>
            <w:rFonts w:ascii="Whitney Book" w:hAnsi="Whitney Book"/>
            <w:sz w:val="24"/>
            <w:szCs w:val="24"/>
            <w:lang w:val="fr-CA" w:eastAsia="en-CA"/>
          </w:rPr>
          <w:t>https://www.nwac.ca/</w:t>
        </w:r>
      </w:hyperlink>
    </w:p>
    <w:p w:rsidR="0059109B" w:rsidRPr="0059109B" w:rsidRDefault="0059109B" w:rsidP="0059109B">
      <w:pPr>
        <w:shd w:val="clear" w:color="auto" w:fill="FFFFFF"/>
        <w:jc w:val="both"/>
        <w:rPr>
          <w:rFonts w:ascii="Whitney Book" w:hAnsi="Whitney Book"/>
          <w:i/>
          <w:iCs/>
          <w:sz w:val="24"/>
          <w:szCs w:val="24"/>
          <w:shd w:val="clear" w:color="auto" w:fill="FFFFFF"/>
          <w:lang w:val="fr-CA"/>
        </w:rPr>
      </w:pPr>
      <w:r w:rsidRPr="0059109B">
        <w:rPr>
          <w:rFonts w:ascii="Whitney Book" w:hAnsi="Whitney Book"/>
          <w:i/>
          <w:iCs/>
          <w:sz w:val="24"/>
          <w:szCs w:val="24"/>
          <w:shd w:val="clear" w:color="auto" w:fill="FFFFFF"/>
          <w:lang w:val="fr-CA"/>
        </w:rPr>
        <w:t>Remarque : Le matériel de la campagne dans les médias sociaux est uniquement en anglais. Certains documents sur le site Web sont en français.</w:t>
      </w:r>
    </w:p>
    <w:p w:rsidR="00800258" w:rsidRPr="0059109B" w:rsidRDefault="000F1CEE" w:rsidP="0059109B">
      <w:pPr>
        <w:pStyle w:val="EndnoteText"/>
        <w:jc w:val="right"/>
        <w:rPr>
          <w:rFonts w:ascii="Whitney Book" w:hAnsi="Whitney Book" w:cs="Arial"/>
          <w:color w:val="auto"/>
          <w:sz w:val="18"/>
          <w:szCs w:val="18"/>
          <w:lang w:val="fr-CA"/>
        </w:rPr>
      </w:pPr>
      <w:r w:rsidRPr="0059109B">
        <w:rPr>
          <w:rFonts w:ascii="Whitney Book" w:hAnsi="Whitney Book" w:cs="Arial"/>
          <w:color w:val="auto"/>
          <w:sz w:val="18"/>
          <w:szCs w:val="18"/>
          <w:lang w:val="fr-CA"/>
        </w:rPr>
        <w:t>lk:apcope343 / 06-December-2021</w:t>
      </w:r>
      <w:bookmarkEnd w:id="0"/>
    </w:p>
    <w:sectPr w:rsidR="00800258" w:rsidRPr="0059109B" w:rsidSect="008E2C15">
      <w:footerReference w:type="default" r:id="rId7"/>
      <w:headerReference w:type="first" r:id="rId8"/>
      <w:footerReference w:type="first" r:id="rId9"/>
      <w:pgSz w:w="12240" w:h="15840"/>
      <w:pgMar w:top="1440" w:right="1440" w:bottom="567" w:left="1440" w:header="141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66D" w:rsidRDefault="00BC766D" w:rsidP="009E4E8B">
      <w:pPr>
        <w:spacing w:after="0" w:line="240" w:lineRule="auto"/>
      </w:pPr>
      <w:r>
        <w:separator/>
      </w:r>
    </w:p>
  </w:endnote>
  <w:endnote w:type="continuationSeparator" w:id="0">
    <w:p w:rsidR="00BC766D" w:rsidRDefault="00BC766D" w:rsidP="009E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hitney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E8B" w:rsidRDefault="009E4E8B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3360" behindDoc="1" locked="0" layoutInCell="1" allowOverlap="1" wp14:anchorId="23826119" wp14:editId="5BD3D46C">
          <wp:simplePos x="0" y="0"/>
          <wp:positionH relativeFrom="column">
            <wp:posOffset>-1257300</wp:posOffset>
          </wp:positionH>
          <wp:positionV relativeFrom="paragraph">
            <wp:posOffset>171450</wp:posOffset>
          </wp:positionV>
          <wp:extent cx="8404225" cy="354330"/>
          <wp:effectExtent l="0" t="0" r="0" b="7620"/>
          <wp:wrapTight wrapText="bothSides">
            <wp:wrapPolygon edited="0">
              <wp:start x="0" y="0"/>
              <wp:lineTo x="0" y="20903"/>
              <wp:lineTo x="21543" y="20903"/>
              <wp:lineTo x="2154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4225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E8B" w:rsidRDefault="009E4E8B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-1250950</wp:posOffset>
          </wp:positionH>
          <wp:positionV relativeFrom="paragraph">
            <wp:posOffset>207645</wp:posOffset>
          </wp:positionV>
          <wp:extent cx="8404225" cy="354330"/>
          <wp:effectExtent l="0" t="0" r="0" b="7620"/>
          <wp:wrapTight wrapText="bothSides">
            <wp:wrapPolygon edited="0">
              <wp:start x="0" y="0"/>
              <wp:lineTo x="0" y="20903"/>
              <wp:lineTo x="21543" y="20903"/>
              <wp:lineTo x="2154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4225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66D" w:rsidRDefault="00BC766D" w:rsidP="009E4E8B">
      <w:pPr>
        <w:spacing w:after="0" w:line="240" w:lineRule="auto"/>
      </w:pPr>
      <w:r>
        <w:separator/>
      </w:r>
    </w:p>
  </w:footnote>
  <w:footnote w:type="continuationSeparator" w:id="0">
    <w:p w:rsidR="00BC766D" w:rsidRDefault="00BC766D" w:rsidP="009E4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E8B" w:rsidRDefault="009C01D3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-443230</wp:posOffset>
          </wp:positionV>
          <wp:extent cx="7740015" cy="1543050"/>
          <wp:effectExtent l="0" t="0" r="0" b="0"/>
          <wp:wrapTight wrapText="bothSides">
            <wp:wrapPolygon edited="0">
              <wp:start x="0" y="0"/>
              <wp:lineTo x="0" y="21333"/>
              <wp:lineTo x="21531" y="21333"/>
              <wp:lineTo x="21531" y="0"/>
              <wp:lineTo x="0" y="0"/>
            </wp:wrapPolygon>
          </wp:wrapTight>
          <wp:docPr id="3" name="Picture 3" descr="Unifor the Union National Letterhead&#10;National Office&#10;115 Gordon Baker Road&#10;Toronto, ON&#10;M2H 0A8&#10;&#10;Jerry Dias, National President&#10;Renaud Gagne, Quebec Director&#10;Lana Payne, National Secretary-Treasur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15" cy="154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fr-CA" w:vendorID="64" w:dllVersion="4096" w:nlCheck="1" w:checkStyle="0"/>
  <w:activeWritingStyle w:appName="MSWord" w:lang="fr-CA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8B"/>
    <w:rsid w:val="000233F4"/>
    <w:rsid w:val="00042655"/>
    <w:rsid w:val="000573B4"/>
    <w:rsid w:val="00071DF5"/>
    <w:rsid w:val="000B3DFB"/>
    <w:rsid w:val="000F1CEE"/>
    <w:rsid w:val="001025FF"/>
    <w:rsid w:val="0011231E"/>
    <w:rsid w:val="001863FA"/>
    <w:rsid w:val="002050D7"/>
    <w:rsid w:val="00374F1F"/>
    <w:rsid w:val="00382B82"/>
    <w:rsid w:val="003D1FB1"/>
    <w:rsid w:val="003E4465"/>
    <w:rsid w:val="00410999"/>
    <w:rsid w:val="0044527C"/>
    <w:rsid w:val="004F4343"/>
    <w:rsid w:val="00527413"/>
    <w:rsid w:val="00535CCD"/>
    <w:rsid w:val="00575692"/>
    <w:rsid w:val="0059109B"/>
    <w:rsid w:val="005A5434"/>
    <w:rsid w:val="00646234"/>
    <w:rsid w:val="0068472D"/>
    <w:rsid w:val="00686D71"/>
    <w:rsid w:val="00703B2E"/>
    <w:rsid w:val="00742528"/>
    <w:rsid w:val="00772B6D"/>
    <w:rsid w:val="0078798F"/>
    <w:rsid w:val="00800258"/>
    <w:rsid w:val="00853643"/>
    <w:rsid w:val="00854FB8"/>
    <w:rsid w:val="008E2C15"/>
    <w:rsid w:val="009C01D3"/>
    <w:rsid w:val="009C54B8"/>
    <w:rsid w:val="009C61DD"/>
    <w:rsid w:val="009D03E7"/>
    <w:rsid w:val="009E4E8B"/>
    <w:rsid w:val="00A000A8"/>
    <w:rsid w:val="00A3184D"/>
    <w:rsid w:val="00A64171"/>
    <w:rsid w:val="00AA748A"/>
    <w:rsid w:val="00AC29B6"/>
    <w:rsid w:val="00AD4256"/>
    <w:rsid w:val="00AE1F9C"/>
    <w:rsid w:val="00AF5108"/>
    <w:rsid w:val="00B85BC7"/>
    <w:rsid w:val="00BA4208"/>
    <w:rsid w:val="00BC766D"/>
    <w:rsid w:val="00C7686F"/>
    <w:rsid w:val="00CD2827"/>
    <w:rsid w:val="00D04EED"/>
    <w:rsid w:val="00D3636F"/>
    <w:rsid w:val="00E04F3C"/>
    <w:rsid w:val="00E42168"/>
    <w:rsid w:val="00E46A10"/>
    <w:rsid w:val="00EB2775"/>
    <w:rsid w:val="00FC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D8E842-3843-4F6F-B6FE-9F14A34B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E8B"/>
  </w:style>
  <w:style w:type="paragraph" w:styleId="Footer">
    <w:name w:val="footer"/>
    <w:basedOn w:val="Normal"/>
    <w:link w:val="FooterChar"/>
    <w:uiPriority w:val="99"/>
    <w:unhideWhenUsed/>
    <w:rsid w:val="009E4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E8B"/>
  </w:style>
  <w:style w:type="character" w:styleId="Hyperlink">
    <w:name w:val="Hyperlink"/>
    <w:basedOn w:val="DefaultParagraphFont"/>
    <w:uiPriority w:val="99"/>
    <w:unhideWhenUsed/>
    <w:rsid w:val="009D03E7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0F1CEE"/>
    <w:pPr>
      <w:spacing w:after="0" w:line="240" w:lineRule="auto"/>
    </w:pPr>
    <w:rPr>
      <w:color w:val="595959" w:themeColor="text1" w:themeTint="A6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F1CEE"/>
    <w:rPr>
      <w:color w:val="595959" w:themeColor="text1" w:themeTint="A6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F1C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wac.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lonergan</dc:creator>
  <cp:keywords/>
  <dc:description/>
  <cp:lastModifiedBy>Laura Hargrove</cp:lastModifiedBy>
  <cp:revision>2</cp:revision>
  <cp:lastPrinted>2021-07-09T17:17:00Z</cp:lastPrinted>
  <dcterms:created xsi:type="dcterms:W3CDTF">2021-12-06T18:53:00Z</dcterms:created>
  <dcterms:modified xsi:type="dcterms:W3CDTF">2021-12-06T18:53:00Z</dcterms:modified>
</cp:coreProperties>
</file>